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C384B" w:rsidRDefault="00551786" w:rsidP="003B5A41">
      <w:pPr>
        <w:pStyle w:val="Title"/>
      </w:pPr>
      <w:bookmarkStart w:id="0" w:name="_GoBack"/>
      <w:bookmarkEnd w:id="0"/>
      <w:r>
        <w:t xml:space="preserve">GSM Evolution for cellular </w:t>
      </w:r>
      <w:proofErr w:type="spellStart"/>
      <w:r>
        <w:t>IoT</w:t>
      </w:r>
      <w:proofErr w:type="spellEnd"/>
      <w:r>
        <w:t xml:space="preserve"> - </w:t>
      </w:r>
      <w:r w:rsidR="008C384B" w:rsidRPr="008C384B">
        <w:t>DL scheduling</w:t>
      </w:r>
    </w:p>
    <w:p w:rsidR="003B5A41" w:rsidRDefault="002D5956" w:rsidP="003B5A41">
      <w:pPr>
        <w:pStyle w:val="Heading1"/>
        <w:rPr>
          <w:lang w:val="sv-SE"/>
        </w:rPr>
      </w:pPr>
      <w:r>
        <w:rPr>
          <w:lang w:val="sv-SE"/>
        </w:rPr>
        <w:t>Introduction</w:t>
      </w:r>
    </w:p>
    <w:p w:rsidR="003D0F91" w:rsidRDefault="00CB396E" w:rsidP="005F4CB3">
      <w:pPr>
        <w:pStyle w:val="BodyText"/>
      </w:pPr>
      <w:r>
        <w:t xml:space="preserve">In order to support extended coverage in GSM for cellular </w:t>
      </w:r>
      <w:proofErr w:type="spellStart"/>
      <w:r>
        <w:t>IoT</w:t>
      </w:r>
      <w:proofErr w:type="spellEnd"/>
      <w:r>
        <w:t xml:space="preserve"> the </w:t>
      </w:r>
      <w:r w:rsidR="006413E5">
        <w:t>resource handling need also be catered for in extended coverage.</w:t>
      </w:r>
    </w:p>
    <w:p w:rsidR="006413E5" w:rsidRDefault="006413E5" w:rsidP="005F4CB3">
      <w:pPr>
        <w:pStyle w:val="BodyText"/>
      </w:pPr>
      <w:r>
        <w:t xml:space="preserve">In this discussion paper it is investigated if the current principle of DL scheduling (i.e. signaling the scheduled TBF in the DL RLC/MAC header by the TFI value) can be </w:t>
      </w:r>
      <w:r w:rsidR="000E1B9A">
        <w:t>used also when extended DL coverage is required</w:t>
      </w:r>
      <w:r>
        <w:t>.</w:t>
      </w:r>
    </w:p>
    <w:p w:rsidR="00EA4D6F" w:rsidRPr="00EA4D6F" w:rsidRDefault="00EA4D6F" w:rsidP="005F4CB3">
      <w:pPr>
        <w:pStyle w:val="BodyText"/>
        <w:rPr>
          <w:color w:val="C0504D" w:themeColor="accent2"/>
        </w:rPr>
      </w:pPr>
      <w:r w:rsidRPr="00EA4D6F">
        <w:rPr>
          <w:color w:val="C0504D" w:themeColor="accent2"/>
        </w:rPr>
        <w:t xml:space="preserve">This document is a re-submission of a document presented at the first </w:t>
      </w:r>
      <w:proofErr w:type="spellStart"/>
      <w:r w:rsidRPr="00EA4D6F">
        <w:rPr>
          <w:color w:val="C0504D" w:themeColor="accent2"/>
        </w:rPr>
        <w:t>FS_IoT_LC</w:t>
      </w:r>
      <w:proofErr w:type="spellEnd"/>
      <w:r w:rsidRPr="00EA4D6F">
        <w:rPr>
          <w:color w:val="C0504D" w:themeColor="accent2"/>
        </w:rPr>
        <w:t xml:space="preserve"> </w:t>
      </w:r>
      <w:proofErr w:type="spellStart"/>
      <w:r w:rsidRPr="00EA4D6F">
        <w:rPr>
          <w:color w:val="C0504D" w:themeColor="accent2"/>
        </w:rPr>
        <w:t>telco</w:t>
      </w:r>
      <w:proofErr w:type="spellEnd"/>
      <w:r w:rsidRPr="00EA4D6F">
        <w:rPr>
          <w:color w:val="C0504D" w:themeColor="accent2"/>
        </w:rPr>
        <w:t>.</w:t>
      </w:r>
    </w:p>
    <w:p w:rsidR="003B5A41" w:rsidRDefault="00B26AF6" w:rsidP="002D5956">
      <w:pPr>
        <w:pStyle w:val="Heading1"/>
        <w:rPr>
          <w:lang w:val="sv-SE"/>
        </w:rPr>
      </w:pPr>
      <w:r>
        <w:rPr>
          <w:lang w:val="sv-SE"/>
        </w:rPr>
        <w:t>DL scheduling</w:t>
      </w:r>
    </w:p>
    <w:p w:rsidR="00B72147" w:rsidRPr="00B72147" w:rsidRDefault="00B72147" w:rsidP="00B72147">
      <w:pPr>
        <w:pStyle w:val="BodyText"/>
      </w:pPr>
      <w:r w:rsidRPr="00B72147">
        <w:t>In a backwards compatible implementation of extended coverage in existing GSM deployments, users in extended coverage will co-exist with legacy GSM users and be multiplexed on the same physical PDTCH resources.</w:t>
      </w:r>
    </w:p>
    <w:p w:rsidR="00B72147" w:rsidRPr="00B72147" w:rsidRDefault="00B72147" w:rsidP="00B72147">
      <w:pPr>
        <w:pStyle w:val="BodyText"/>
      </w:pPr>
      <w:r w:rsidRPr="00B72147">
        <w:t>In GSM/EDGE today the DL scheduling is carried out by addressing the MS intended for the received DL data block in the RLC/MAC header.</w:t>
      </w:r>
    </w:p>
    <w:p w:rsidR="00B72147" w:rsidRPr="00B72147" w:rsidRDefault="00B72147" w:rsidP="00B72147">
      <w:pPr>
        <w:pStyle w:val="BodyText"/>
      </w:pPr>
      <w:r w:rsidRPr="00B72147">
        <w:t>A DL GSM/EDGE radio block consists of:</w:t>
      </w:r>
    </w:p>
    <w:p w:rsidR="00B72147" w:rsidRPr="00B72147" w:rsidRDefault="00B72147" w:rsidP="00B72147">
      <w:pPr>
        <w:pStyle w:val="BodyText"/>
        <w:numPr>
          <w:ilvl w:val="0"/>
          <w:numId w:val="14"/>
        </w:numPr>
      </w:pPr>
      <w:r w:rsidRPr="00B72147">
        <w:t>An RLC/MAC header</w:t>
      </w:r>
    </w:p>
    <w:p w:rsidR="00B72147" w:rsidRPr="00B72147" w:rsidRDefault="00B72147" w:rsidP="00B72147">
      <w:pPr>
        <w:pStyle w:val="BodyText"/>
        <w:numPr>
          <w:ilvl w:val="0"/>
          <w:numId w:val="14"/>
        </w:numPr>
      </w:pPr>
      <w:r w:rsidRPr="00B72147">
        <w:t>One or more RLC data blocks</w:t>
      </w:r>
    </w:p>
    <w:p w:rsidR="00B72147" w:rsidRPr="00B72147" w:rsidRDefault="00B72147" w:rsidP="00B72147">
      <w:pPr>
        <w:pStyle w:val="BodyText"/>
        <w:numPr>
          <w:ilvl w:val="0"/>
          <w:numId w:val="14"/>
        </w:numPr>
      </w:pPr>
      <w:r w:rsidRPr="00B72147">
        <w:t>Stealing flags</w:t>
      </w:r>
    </w:p>
    <w:p w:rsidR="00B72147" w:rsidRPr="00B72147" w:rsidRDefault="00B72147" w:rsidP="00B72147">
      <w:pPr>
        <w:pStyle w:val="BodyText"/>
        <w:numPr>
          <w:ilvl w:val="0"/>
          <w:numId w:val="14"/>
        </w:numPr>
      </w:pPr>
      <w:r w:rsidRPr="00B72147">
        <w:t>Uplink State Flag (USF)</w:t>
      </w:r>
    </w:p>
    <w:p w:rsidR="00B72147" w:rsidRDefault="00B72147" w:rsidP="00B72147">
      <w:pPr>
        <w:pStyle w:val="BodyText"/>
      </w:pPr>
      <w:r w:rsidRPr="00B72147">
        <w:t>All listed fields are separately encoded and are contained in pre-defined position</w:t>
      </w:r>
      <w:r w:rsidR="00CB27B3">
        <w:t>s</w:t>
      </w:r>
      <w:r w:rsidRPr="00B72147">
        <w:t xml:space="preserve"> in the burst.</w:t>
      </w:r>
    </w:p>
    <w:p w:rsidR="00522F36" w:rsidRDefault="00B72147" w:rsidP="00B72147">
      <w:pPr>
        <w:pStyle w:val="BodyText"/>
      </w:pPr>
      <w:r w:rsidRPr="00B72147">
        <w:t xml:space="preserve">The DL radio block could also have a piggy-backed </w:t>
      </w:r>
      <w:proofErr w:type="spellStart"/>
      <w:r w:rsidRPr="00B72147">
        <w:t>Ack</w:t>
      </w:r>
      <w:proofErr w:type="spellEnd"/>
      <w:r w:rsidRPr="00B72147">
        <w:t>/</w:t>
      </w:r>
      <w:proofErr w:type="spellStart"/>
      <w:r w:rsidRPr="00B72147">
        <w:t>Nack</w:t>
      </w:r>
      <w:proofErr w:type="spellEnd"/>
      <w:r w:rsidRPr="00B72147">
        <w:t xml:space="preserve"> bitmap included. This is however not as of today a wide-spread supported functionality and is not in this </w:t>
      </w:r>
      <w:r>
        <w:t>investigation</w:t>
      </w:r>
      <w:r w:rsidRPr="00B72147">
        <w:t xml:space="preserve"> considered applicable to the </w:t>
      </w:r>
      <w:proofErr w:type="spellStart"/>
      <w:r w:rsidRPr="00B72147">
        <w:t>IoT</w:t>
      </w:r>
      <w:proofErr w:type="spellEnd"/>
      <w:r w:rsidRPr="00B72147">
        <w:t xml:space="preserve"> segment.</w:t>
      </w:r>
    </w:p>
    <w:p w:rsidR="003C7DF7" w:rsidRDefault="003C7DF7" w:rsidP="00B72147">
      <w:pPr>
        <w:pStyle w:val="Heading2"/>
      </w:pPr>
      <w:r>
        <w:t>RLC/MAC header</w:t>
      </w:r>
    </w:p>
    <w:p w:rsidR="00B72147" w:rsidRDefault="00B72147" w:rsidP="00B72147">
      <w:pPr>
        <w:pStyle w:val="BodyText"/>
      </w:pPr>
      <w:r>
        <w:t xml:space="preserve">A typical format of the RLC/MAC header is provided in </w:t>
      </w:r>
      <w:r>
        <w:fldChar w:fldCharType="begin"/>
      </w:r>
      <w:r>
        <w:instrText xml:space="preserve"> REF _Ref391136875 \h </w:instrText>
      </w:r>
      <w:r>
        <w:fldChar w:fldCharType="separate"/>
      </w:r>
      <w:r>
        <w:t xml:space="preserve">Table </w:t>
      </w:r>
      <w:r>
        <w:rPr>
          <w:noProof/>
        </w:rPr>
        <w:t>1</w:t>
      </w:r>
      <w:r>
        <w:fldChar w:fldCharType="end"/>
      </w:r>
      <w:r>
        <w:t>.</w:t>
      </w:r>
    </w:p>
    <w:p w:rsidR="00B72147" w:rsidRDefault="00B72147" w:rsidP="00B72147">
      <w:pPr>
        <w:pStyle w:val="Caption"/>
      </w:pPr>
      <w:bookmarkStart w:id="1" w:name="_Ref391136875"/>
      <w:proofErr w:type="gramStart"/>
      <w:r>
        <w:t xml:space="preserve">Table </w:t>
      </w:r>
      <w:r w:rsidR="00076DF8">
        <w:fldChar w:fldCharType="begin"/>
      </w:r>
      <w:r w:rsidR="00076DF8">
        <w:instrText xml:space="preserve"> SEQ Table \* ARABIC </w:instrText>
      </w:r>
      <w:r w:rsidR="00076DF8">
        <w:fldChar w:fldCharType="separate"/>
      </w:r>
      <w:r w:rsidR="003C7DF7">
        <w:rPr>
          <w:noProof/>
        </w:rPr>
        <w:t>1</w:t>
      </w:r>
      <w:r w:rsidR="00076DF8">
        <w:rPr>
          <w:noProof/>
        </w:rPr>
        <w:fldChar w:fldCharType="end"/>
      </w:r>
      <w:bookmarkEnd w:id="1"/>
      <w:r>
        <w:t>.</w:t>
      </w:r>
      <w:proofErr w:type="gramEnd"/>
      <w:r>
        <w:t xml:space="preserve"> RLC/MAC header design for MCS-1-4</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B72147" w:rsidRPr="00BE3583" w:rsidTr="0043506F">
        <w:trPr>
          <w:cantSplit/>
          <w:jc w:val="center"/>
        </w:trPr>
        <w:tc>
          <w:tcPr>
            <w:tcW w:w="4564" w:type="dxa"/>
            <w:gridSpan w:val="8"/>
          </w:tcPr>
          <w:p w:rsidR="00B72147" w:rsidRPr="00BE3583" w:rsidRDefault="00B72147" w:rsidP="0043506F">
            <w:pPr>
              <w:keepNext/>
              <w:keepLines/>
              <w:spacing w:after="0"/>
              <w:jc w:val="center"/>
              <w:rPr>
                <w:rFonts w:ascii="Arial" w:hAnsi="Arial"/>
                <w:sz w:val="18"/>
              </w:rPr>
            </w:pPr>
            <w:r w:rsidRPr="00BE3583">
              <w:rPr>
                <w:rFonts w:ascii="Arial" w:hAnsi="Arial"/>
                <w:sz w:val="18"/>
              </w:rPr>
              <w:t>Bit</w:t>
            </w:r>
          </w:p>
        </w:tc>
        <w:tc>
          <w:tcPr>
            <w:tcW w:w="1134" w:type="dxa"/>
          </w:tcPr>
          <w:p w:rsidR="00B72147" w:rsidRPr="00BE3583" w:rsidRDefault="00B72147" w:rsidP="0043506F">
            <w:pPr>
              <w:keepNext/>
              <w:keepLines/>
              <w:spacing w:after="0"/>
              <w:jc w:val="center"/>
              <w:rPr>
                <w:rFonts w:ascii="Arial" w:hAnsi="Arial"/>
                <w:sz w:val="18"/>
              </w:rPr>
            </w:pPr>
          </w:p>
        </w:tc>
      </w:tr>
      <w:tr w:rsidR="00B72147" w:rsidRPr="00BE3583" w:rsidTr="0043506F">
        <w:trPr>
          <w:cantSplit/>
          <w:jc w:val="center"/>
        </w:trPr>
        <w:tc>
          <w:tcPr>
            <w:tcW w:w="595" w:type="dxa"/>
          </w:tcPr>
          <w:p w:rsidR="00B72147" w:rsidRPr="00BE3583" w:rsidRDefault="00B72147" w:rsidP="0043506F">
            <w:pPr>
              <w:keepNext/>
              <w:keepLines/>
              <w:spacing w:after="0"/>
              <w:jc w:val="center"/>
              <w:rPr>
                <w:rFonts w:ascii="Arial" w:hAnsi="Arial"/>
                <w:sz w:val="18"/>
              </w:rPr>
            </w:pPr>
            <w:r w:rsidRPr="00BE3583">
              <w:rPr>
                <w:rFonts w:ascii="Arial" w:hAnsi="Arial"/>
                <w:sz w:val="18"/>
              </w:rPr>
              <w:t>8</w:t>
            </w:r>
          </w:p>
        </w:tc>
        <w:tc>
          <w:tcPr>
            <w:tcW w:w="567" w:type="dxa"/>
          </w:tcPr>
          <w:p w:rsidR="00B72147" w:rsidRPr="00BE3583" w:rsidRDefault="00B72147" w:rsidP="0043506F">
            <w:pPr>
              <w:keepNext/>
              <w:keepLines/>
              <w:spacing w:after="0"/>
              <w:jc w:val="center"/>
              <w:rPr>
                <w:rFonts w:ascii="Arial" w:hAnsi="Arial"/>
                <w:sz w:val="18"/>
              </w:rPr>
            </w:pPr>
            <w:r w:rsidRPr="00BE3583">
              <w:rPr>
                <w:rFonts w:ascii="Arial" w:hAnsi="Arial"/>
                <w:sz w:val="18"/>
              </w:rPr>
              <w:t>7</w:t>
            </w:r>
          </w:p>
        </w:tc>
        <w:tc>
          <w:tcPr>
            <w:tcW w:w="567" w:type="dxa"/>
          </w:tcPr>
          <w:p w:rsidR="00B72147" w:rsidRPr="00BE3583" w:rsidRDefault="00B72147" w:rsidP="0043506F">
            <w:pPr>
              <w:keepNext/>
              <w:keepLines/>
              <w:spacing w:after="0"/>
              <w:jc w:val="center"/>
              <w:rPr>
                <w:rFonts w:ascii="Arial" w:hAnsi="Arial"/>
                <w:sz w:val="18"/>
              </w:rPr>
            </w:pPr>
            <w:r w:rsidRPr="00BE3583">
              <w:rPr>
                <w:rFonts w:ascii="Arial" w:hAnsi="Arial"/>
                <w:sz w:val="18"/>
              </w:rPr>
              <w:t>6</w:t>
            </w:r>
          </w:p>
        </w:tc>
        <w:tc>
          <w:tcPr>
            <w:tcW w:w="567" w:type="dxa"/>
          </w:tcPr>
          <w:p w:rsidR="00B72147" w:rsidRPr="00BE3583" w:rsidRDefault="00B72147" w:rsidP="0043506F">
            <w:pPr>
              <w:keepNext/>
              <w:keepLines/>
              <w:spacing w:after="0"/>
              <w:jc w:val="center"/>
              <w:rPr>
                <w:rFonts w:ascii="Arial" w:hAnsi="Arial"/>
                <w:sz w:val="18"/>
              </w:rPr>
            </w:pPr>
            <w:r w:rsidRPr="00BE3583">
              <w:rPr>
                <w:rFonts w:ascii="Arial" w:hAnsi="Arial"/>
                <w:sz w:val="18"/>
              </w:rPr>
              <w:t>5</w:t>
            </w:r>
          </w:p>
        </w:tc>
        <w:tc>
          <w:tcPr>
            <w:tcW w:w="567" w:type="dxa"/>
          </w:tcPr>
          <w:p w:rsidR="00B72147" w:rsidRPr="00BE3583" w:rsidRDefault="00B72147" w:rsidP="0043506F">
            <w:pPr>
              <w:keepNext/>
              <w:keepLines/>
              <w:spacing w:after="0"/>
              <w:jc w:val="center"/>
              <w:rPr>
                <w:rFonts w:ascii="Arial" w:hAnsi="Arial"/>
                <w:sz w:val="18"/>
              </w:rPr>
            </w:pPr>
            <w:r w:rsidRPr="00BE3583">
              <w:rPr>
                <w:rFonts w:ascii="Arial" w:hAnsi="Arial"/>
                <w:sz w:val="18"/>
              </w:rPr>
              <w:t>4</w:t>
            </w:r>
          </w:p>
        </w:tc>
        <w:tc>
          <w:tcPr>
            <w:tcW w:w="567" w:type="dxa"/>
          </w:tcPr>
          <w:p w:rsidR="00B72147" w:rsidRPr="00BE3583" w:rsidRDefault="00B72147" w:rsidP="0043506F">
            <w:pPr>
              <w:keepNext/>
              <w:keepLines/>
              <w:spacing w:after="0"/>
              <w:jc w:val="center"/>
              <w:rPr>
                <w:rFonts w:ascii="Arial" w:hAnsi="Arial"/>
                <w:sz w:val="18"/>
              </w:rPr>
            </w:pPr>
            <w:r w:rsidRPr="00BE3583">
              <w:rPr>
                <w:rFonts w:ascii="Arial" w:hAnsi="Arial"/>
                <w:sz w:val="18"/>
              </w:rPr>
              <w:t>3</w:t>
            </w:r>
          </w:p>
        </w:tc>
        <w:tc>
          <w:tcPr>
            <w:tcW w:w="567" w:type="dxa"/>
          </w:tcPr>
          <w:p w:rsidR="00B72147" w:rsidRPr="00BE3583" w:rsidRDefault="00B72147" w:rsidP="0043506F">
            <w:pPr>
              <w:keepNext/>
              <w:keepLines/>
              <w:spacing w:after="0"/>
              <w:jc w:val="center"/>
              <w:rPr>
                <w:rFonts w:ascii="Arial" w:hAnsi="Arial"/>
                <w:sz w:val="18"/>
              </w:rPr>
            </w:pPr>
            <w:r w:rsidRPr="00BE3583">
              <w:rPr>
                <w:rFonts w:ascii="Arial" w:hAnsi="Arial"/>
                <w:sz w:val="18"/>
              </w:rPr>
              <w:t>2</w:t>
            </w:r>
          </w:p>
        </w:tc>
        <w:tc>
          <w:tcPr>
            <w:tcW w:w="567" w:type="dxa"/>
          </w:tcPr>
          <w:p w:rsidR="00B72147" w:rsidRPr="00BE3583" w:rsidRDefault="00B72147" w:rsidP="0043506F">
            <w:pPr>
              <w:keepNext/>
              <w:keepLines/>
              <w:spacing w:after="0"/>
              <w:jc w:val="center"/>
              <w:rPr>
                <w:rFonts w:ascii="Arial" w:hAnsi="Arial"/>
                <w:sz w:val="18"/>
              </w:rPr>
            </w:pPr>
            <w:r w:rsidRPr="00BE3583">
              <w:rPr>
                <w:rFonts w:ascii="Arial" w:hAnsi="Arial"/>
                <w:sz w:val="18"/>
              </w:rPr>
              <w:t>1</w:t>
            </w:r>
          </w:p>
        </w:tc>
        <w:tc>
          <w:tcPr>
            <w:tcW w:w="1134" w:type="dxa"/>
          </w:tcPr>
          <w:p w:rsidR="00B72147" w:rsidRPr="00BE3583" w:rsidRDefault="00B72147" w:rsidP="0043506F">
            <w:pPr>
              <w:keepNext/>
              <w:keepLines/>
              <w:spacing w:after="0"/>
              <w:jc w:val="center"/>
              <w:rPr>
                <w:rFonts w:ascii="Arial" w:hAnsi="Arial"/>
                <w:sz w:val="18"/>
              </w:rPr>
            </w:pPr>
            <w:r w:rsidRPr="00BE3583">
              <w:rPr>
                <w:rFonts w:ascii="Arial" w:hAnsi="Arial"/>
                <w:sz w:val="18"/>
              </w:rPr>
              <w:t>Octet</w:t>
            </w:r>
          </w:p>
        </w:tc>
      </w:tr>
      <w:tr w:rsidR="00B72147" w:rsidRPr="00BE3583" w:rsidTr="0043506F">
        <w:trPr>
          <w:cantSplit/>
          <w:jc w:val="center"/>
        </w:trPr>
        <w:tc>
          <w:tcPr>
            <w:tcW w:w="595" w:type="dxa"/>
            <w:tcBorders>
              <w:top w:val="single" w:sz="6" w:space="0" w:color="auto"/>
              <w:left w:val="single" w:sz="6" w:space="0" w:color="auto"/>
              <w:bottom w:val="single" w:sz="6" w:space="0" w:color="auto"/>
              <w:righ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TFI</w:t>
            </w:r>
          </w:p>
        </w:tc>
        <w:tc>
          <w:tcPr>
            <w:tcW w:w="1134" w:type="dxa"/>
            <w:gridSpan w:val="2"/>
            <w:tcBorders>
              <w:top w:val="single" w:sz="6" w:space="0" w:color="auto"/>
              <w:left w:val="single" w:sz="6" w:space="0" w:color="auto"/>
              <w:bottom w:val="single" w:sz="6" w:space="0" w:color="auto"/>
              <w:righ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USF</w:t>
            </w:r>
          </w:p>
        </w:tc>
        <w:tc>
          <w:tcPr>
            <w:tcW w:w="1134" w:type="dxa"/>
            <w:tcBorders>
              <w:lef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1</w:t>
            </w:r>
          </w:p>
        </w:tc>
      </w:tr>
      <w:tr w:rsidR="00B72147" w:rsidRPr="00BE3583" w:rsidTr="0043506F">
        <w:trPr>
          <w:cantSplit/>
          <w:jc w:val="center"/>
        </w:trPr>
        <w:tc>
          <w:tcPr>
            <w:tcW w:w="1162" w:type="dxa"/>
            <w:gridSpan w:val="2"/>
            <w:tcBorders>
              <w:lef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TFI</w:t>
            </w:r>
          </w:p>
        </w:tc>
        <w:tc>
          <w:tcPr>
            <w:tcW w:w="1134" w:type="dxa"/>
            <w:tcBorders>
              <w:lef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2</w:t>
            </w:r>
          </w:p>
        </w:tc>
      </w:tr>
      <w:tr w:rsidR="00B72147" w:rsidRPr="00BE3583" w:rsidTr="0043506F">
        <w:trPr>
          <w:cantSplit/>
          <w:jc w:val="center"/>
        </w:trPr>
        <w:tc>
          <w:tcPr>
            <w:tcW w:w="4564" w:type="dxa"/>
            <w:gridSpan w:val="8"/>
            <w:tcBorders>
              <w:top w:val="single" w:sz="6" w:space="0" w:color="auto"/>
              <w:left w:val="single" w:sz="6" w:space="0" w:color="auto"/>
              <w:righ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BSN1</w:t>
            </w:r>
          </w:p>
        </w:tc>
        <w:tc>
          <w:tcPr>
            <w:tcW w:w="1134" w:type="dxa"/>
            <w:tcBorders>
              <w:lef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3</w:t>
            </w:r>
          </w:p>
        </w:tc>
      </w:tr>
      <w:tr w:rsidR="00B72147" w:rsidRPr="00BE3583" w:rsidTr="0043506F">
        <w:trPr>
          <w:cantSplit/>
          <w:jc w:val="center"/>
        </w:trPr>
        <w:tc>
          <w:tcPr>
            <w:tcW w:w="2296" w:type="dxa"/>
            <w:gridSpan w:val="4"/>
            <w:tcBorders>
              <w:top w:val="single" w:sz="6" w:space="0" w:color="auto"/>
              <w:right w:val="single" w:sz="6" w:space="0" w:color="auto"/>
            </w:tcBorders>
          </w:tcPr>
          <w:p w:rsidR="00B72147" w:rsidRPr="00BE3583" w:rsidRDefault="00B72147" w:rsidP="0043506F">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BSN1</w:t>
            </w:r>
          </w:p>
        </w:tc>
        <w:tc>
          <w:tcPr>
            <w:tcW w:w="1134" w:type="dxa"/>
            <w:tcBorders>
              <w:left w:val="single" w:sz="6" w:space="0" w:color="auto"/>
            </w:tcBorders>
          </w:tcPr>
          <w:p w:rsidR="00B72147" w:rsidRPr="00BE3583" w:rsidRDefault="00B72147" w:rsidP="0043506F">
            <w:pPr>
              <w:keepNext/>
              <w:keepLines/>
              <w:spacing w:after="0"/>
              <w:jc w:val="center"/>
              <w:rPr>
                <w:rFonts w:ascii="Arial" w:hAnsi="Arial"/>
                <w:sz w:val="18"/>
              </w:rPr>
            </w:pPr>
            <w:r w:rsidRPr="00BE3583">
              <w:rPr>
                <w:rFonts w:ascii="Arial" w:hAnsi="Arial"/>
                <w:sz w:val="18"/>
              </w:rPr>
              <w:t>4</w:t>
            </w:r>
          </w:p>
        </w:tc>
      </w:tr>
    </w:tbl>
    <w:p w:rsidR="00B72147" w:rsidRPr="00B72147" w:rsidRDefault="00B72147" w:rsidP="00B72147"/>
    <w:p w:rsidR="00B72147" w:rsidRDefault="00B72147" w:rsidP="00B634B7">
      <w:pPr>
        <w:pStyle w:val="BodyText"/>
      </w:pPr>
      <w:r>
        <w:lastRenderedPageBreak/>
        <w:t xml:space="preserve">It can be seen that the TFI value is a 5 bit value (allowing for 32 different </w:t>
      </w:r>
      <w:r w:rsidR="00EE09CE">
        <w:t>users to be simultaneously active</w:t>
      </w:r>
      <w:r>
        <w:t xml:space="preserve">) </w:t>
      </w:r>
      <w:r w:rsidR="00352F67">
        <w:t>is included in the header, which is for all EDGE MCSs protected by an eight bit CRC.</w:t>
      </w:r>
    </w:p>
    <w:p w:rsidR="00B634B7" w:rsidRPr="00B634B7" w:rsidRDefault="00B634B7" w:rsidP="00B634B7">
      <w:pPr>
        <w:pStyle w:val="BodyText"/>
      </w:pPr>
      <w:r w:rsidRPr="00B634B7">
        <w:t>Out of the different fields of the radio block, it is only the USF that is not intended for the recipient of the DL data. I.e. the recipient of the DL data block and the USF need not be the same.</w:t>
      </w:r>
    </w:p>
    <w:p w:rsidR="00B634B7" w:rsidRDefault="00B634B7" w:rsidP="00B634B7">
      <w:pPr>
        <w:pStyle w:val="BodyText"/>
      </w:pPr>
      <w:r w:rsidRPr="00B634B7">
        <w:t xml:space="preserve">I.e. all other fields contain information intended for the recipient of the DL </w:t>
      </w:r>
      <w:r w:rsidR="005640CB">
        <w:t>TBF</w:t>
      </w:r>
      <w:r w:rsidRPr="00B634B7">
        <w:t xml:space="preserve"> addressed in the RLC/MAC header by the TFI field.</w:t>
      </w:r>
    </w:p>
    <w:p w:rsidR="003C7DF7" w:rsidRPr="00B634B7" w:rsidRDefault="003C7DF7" w:rsidP="003C7DF7">
      <w:pPr>
        <w:pStyle w:val="Heading2"/>
      </w:pPr>
      <w:r>
        <w:t>DL scheduling in extended coverage</w:t>
      </w:r>
    </w:p>
    <w:p w:rsidR="00B634B7" w:rsidRPr="00B634B7" w:rsidRDefault="00B634B7" w:rsidP="00B634B7">
      <w:pPr>
        <w:pStyle w:val="BodyText"/>
      </w:pPr>
      <w:r w:rsidRPr="00B634B7">
        <w:t>Hence a straightforward approach to support DL scheduling also for devices in extended coverage would be to repeat the DL block.</w:t>
      </w:r>
    </w:p>
    <w:p w:rsidR="00B634B7" w:rsidRDefault="00B634B7" w:rsidP="00B634B7">
      <w:pPr>
        <w:pStyle w:val="BodyText"/>
      </w:pPr>
      <w:r w:rsidRPr="00B634B7">
        <w:t>However, in order not to pose restrictions on the UL scheduling by the USF it would be beneficial to have the repetitions on the DL completely decoupled from the USF value</w:t>
      </w:r>
      <w:r w:rsidR="005640CB">
        <w:t>.</w:t>
      </w:r>
    </w:p>
    <w:p w:rsidR="005640CB" w:rsidRDefault="005640CB" w:rsidP="00B634B7">
      <w:pPr>
        <w:pStyle w:val="BodyText"/>
      </w:pPr>
      <w:r>
        <w:t xml:space="preserve">Assume for example that the DL block is intended to schedule a user in extended coverage by using four </w:t>
      </w:r>
      <w:proofErr w:type="gramStart"/>
      <w:r w:rsidR="00364868">
        <w:t>repetitions,</w:t>
      </w:r>
      <w:proofErr w:type="gramEnd"/>
      <w:r>
        <w:t xml:space="preserve"> it would be beneficial if the UL scheduling for users in normal coverage could be done by a block-by-block USF scheduling.</w:t>
      </w:r>
    </w:p>
    <w:p w:rsidR="005640CB" w:rsidRPr="005640CB" w:rsidRDefault="005640CB" w:rsidP="005640CB">
      <w:pPr>
        <w:pStyle w:val="BodyText"/>
      </w:pPr>
      <w:r>
        <w:t>However, d</w:t>
      </w:r>
      <w:r w:rsidRPr="005640CB">
        <w:t>ue to the inter-symbol-interference in the GSM system it is however not clear how much the flexibility of using the USF in this manner could potentially impact the DL data performance.</w:t>
      </w:r>
    </w:p>
    <w:p w:rsidR="005640CB" w:rsidRDefault="005640CB" w:rsidP="005640CB">
      <w:pPr>
        <w:pStyle w:val="BodyText"/>
      </w:pPr>
      <w:r w:rsidRPr="005640CB">
        <w:t xml:space="preserve">The situation for a four block repetition is shown in </w:t>
      </w:r>
      <w:r>
        <w:fldChar w:fldCharType="begin"/>
      </w:r>
      <w:r>
        <w:instrText xml:space="preserve"> REF _Ref391137613 \h </w:instrText>
      </w:r>
      <w:r>
        <w:fldChar w:fldCharType="separate"/>
      </w:r>
      <w:r>
        <w:t xml:space="preserve">Figure </w:t>
      </w:r>
      <w:r>
        <w:rPr>
          <w:noProof/>
        </w:rPr>
        <w:t>1</w:t>
      </w:r>
      <w:r>
        <w:fldChar w:fldCharType="end"/>
      </w:r>
      <w:r w:rsidRPr="005640CB">
        <w:t>. The data part is identical in all transmissions while the USF symbols take on four different values</w:t>
      </w:r>
      <w:r>
        <w:t xml:space="preserve"> (indicated by different colors). </w:t>
      </w:r>
      <w:r w:rsidRPr="005640CB">
        <w:t>Training sequence and tail bits are also shown in the burst format</w:t>
      </w:r>
      <w:r w:rsidR="00364868">
        <w:t xml:space="preserve"> (gray)</w:t>
      </w:r>
      <w:r>
        <w:t>.</w:t>
      </w:r>
    </w:p>
    <w:p w:rsidR="005640CB" w:rsidRDefault="005640CB" w:rsidP="005640CB">
      <w:pPr>
        <w:pStyle w:val="BodyText"/>
      </w:pPr>
      <w:r>
        <w:rPr>
          <w:noProof/>
        </w:rPr>
        <w:drawing>
          <wp:inline distT="0" distB="0" distL="0" distR="0" wp14:anchorId="3B0185B9" wp14:editId="4473CB78">
            <wp:extent cx="5273361" cy="1211721"/>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9416" cy="1215410"/>
                    </a:xfrm>
                    <a:prstGeom prst="rect">
                      <a:avLst/>
                    </a:prstGeom>
                    <a:noFill/>
                  </pic:spPr>
                </pic:pic>
              </a:graphicData>
            </a:graphic>
          </wp:inline>
        </w:drawing>
      </w:r>
    </w:p>
    <w:p w:rsidR="005640CB" w:rsidRDefault="005640CB" w:rsidP="005640CB">
      <w:pPr>
        <w:pStyle w:val="Caption"/>
      </w:pPr>
      <w:bookmarkStart w:id="2" w:name="_Ref391137613"/>
      <w:proofErr w:type="gramStart"/>
      <w:r>
        <w:t xml:space="preserve">Figure </w:t>
      </w:r>
      <w:r w:rsidR="00076DF8">
        <w:fldChar w:fldCharType="begin"/>
      </w:r>
      <w:r w:rsidR="00076DF8">
        <w:instrText xml:space="preserve"> SEQ Figure \* ARABIC </w:instrText>
      </w:r>
      <w:r w:rsidR="00076DF8">
        <w:fldChar w:fldCharType="separate"/>
      </w:r>
      <w:r w:rsidR="00A05392">
        <w:rPr>
          <w:noProof/>
        </w:rPr>
        <w:t>1</w:t>
      </w:r>
      <w:r w:rsidR="00076DF8">
        <w:rPr>
          <w:noProof/>
        </w:rPr>
        <w:fldChar w:fldCharType="end"/>
      </w:r>
      <w:bookmarkEnd w:id="2"/>
      <w:r>
        <w:t>.</w:t>
      </w:r>
      <w:proofErr w:type="gramEnd"/>
      <w:r>
        <w:t xml:space="preserve"> Four radio blocks (each of four bursts) with different USF bits.</w:t>
      </w:r>
    </w:p>
    <w:p w:rsidR="003C7DF7" w:rsidRDefault="003C7DF7" w:rsidP="003C7DF7">
      <w:pPr>
        <w:pStyle w:val="Heading2"/>
      </w:pPr>
      <w:r>
        <w:t>DL scheduling for a large number of devices</w:t>
      </w:r>
    </w:p>
    <w:p w:rsidR="003C7DF7" w:rsidRDefault="0065574D" w:rsidP="003C7DF7">
      <w:pPr>
        <w:pStyle w:val="BodyText"/>
      </w:pPr>
      <w:r>
        <w:t>When targeting a large number of devices the identifier space should be considered to be increased. This applies both for the UL and DL.</w:t>
      </w:r>
    </w:p>
    <w:p w:rsidR="0065574D" w:rsidRDefault="0065574D" w:rsidP="003C7DF7">
      <w:pPr>
        <w:pStyle w:val="BodyText"/>
      </w:pPr>
      <w:r>
        <w:t>An extension of the DL TFI has already been included in the GSM/EDGE specifications by the use of an XOR operation of the RLC/MAC header and the extended TFI value.</w:t>
      </w:r>
    </w:p>
    <w:p w:rsidR="009A1F8C" w:rsidRDefault="0065574D" w:rsidP="003C7DF7">
      <w:pPr>
        <w:pStyle w:val="BodyText"/>
      </w:pPr>
      <w:r>
        <w:t xml:space="preserve">This solution could also be used </w:t>
      </w:r>
      <w:r w:rsidR="004B2B9F">
        <w:t xml:space="preserve">for cellular </w:t>
      </w:r>
      <w:proofErr w:type="spellStart"/>
      <w:r w:rsidR="004B2B9F">
        <w:t>IoT</w:t>
      </w:r>
      <w:proofErr w:type="spellEnd"/>
      <w:r>
        <w:t xml:space="preserve">. </w:t>
      </w:r>
      <w:r w:rsidR="004B2B9F">
        <w:t xml:space="preserve">An alternative approach could be to re-define the RLC/MAC header. For example, there is no need to keep to a maximum RLC window size of 1024 for </w:t>
      </w:r>
      <w:proofErr w:type="spellStart"/>
      <w:r w:rsidR="004B2B9F">
        <w:t>IoT</w:t>
      </w:r>
      <w:proofErr w:type="spellEnd"/>
      <w:r w:rsidR="004B2B9F">
        <w:t xml:space="preserve"> users with low throughput requirements. Lowering the window size to for example at most </w:t>
      </w:r>
      <w:r w:rsidR="001C04F9">
        <w:t xml:space="preserve">64 (same as used for GPRS today) </w:t>
      </w:r>
      <w:r w:rsidR="004B2B9F">
        <w:t xml:space="preserve">would imply a sequence </w:t>
      </w:r>
      <w:r w:rsidR="004B2B9F">
        <w:lastRenderedPageBreak/>
        <w:t xml:space="preserve">number space of </w:t>
      </w:r>
      <w:r w:rsidR="001C04F9">
        <w:t xml:space="preserve">128 </w:t>
      </w:r>
      <w:r w:rsidR="004B2B9F">
        <w:t xml:space="preserve">and a BSN field (see </w:t>
      </w:r>
      <w:r w:rsidR="004B2B9F">
        <w:fldChar w:fldCharType="begin"/>
      </w:r>
      <w:r w:rsidR="004B2B9F">
        <w:instrText xml:space="preserve"> REF _Ref391136875 \h </w:instrText>
      </w:r>
      <w:r w:rsidR="004B2B9F">
        <w:fldChar w:fldCharType="separate"/>
      </w:r>
      <w:r w:rsidR="004B2B9F">
        <w:t xml:space="preserve">Table </w:t>
      </w:r>
      <w:r w:rsidR="004B2B9F">
        <w:rPr>
          <w:noProof/>
        </w:rPr>
        <w:t>1</w:t>
      </w:r>
      <w:r w:rsidR="004B2B9F">
        <w:fldChar w:fldCharType="end"/>
      </w:r>
      <w:r w:rsidR="004B2B9F">
        <w:t xml:space="preserve">) of </w:t>
      </w:r>
      <w:r w:rsidR="001C04F9">
        <w:t xml:space="preserve">seven </w:t>
      </w:r>
      <w:r w:rsidR="004B2B9F">
        <w:t xml:space="preserve">bits, releasing </w:t>
      </w:r>
      <w:r w:rsidR="001C04F9">
        <w:t xml:space="preserve">four </w:t>
      </w:r>
      <w:r w:rsidR="004B2B9F">
        <w:t>bits for extended TFI.</w:t>
      </w:r>
      <w:r w:rsidR="009A1F8C">
        <w:t xml:space="preserve"> A suitable sequence number space to be used for cellular </w:t>
      </w:r>
      <w:proofErr w:type="spellStart"/>
      <w:r w:rsidR="009A1F8C">
        <w:t>IoT</w:t>
      </w:r>
      <w:proofErr w:type="spellEnd"/>
      <w:r w:rsidR="009A1F8C">
        <w:t xml:space="preserve"> is still left TBD. </w:t>
      </w:r>
    </w:p>
    <w:p w:rsidR="0065574D" w:rsidRDefault="009A1F8C" w:rsidP="003C7DF7">
      <w:pPr>
        <w:pStyle w:val="BodyText"/>
      </w:pPr>
      <w:r>
        <w:t>It should be noted that using an extended TFI space would still be backwards compatible with existing devices in the GSM networks.</w:t>
      </w:r>
    </w:p>
    <w:p w:rsidR="00F7719C" w:rsidRPr="003C7DF7" w:rsidRDefault="00F7719C" w:rsidP="003C7DF7">
      <w:pPr>
        <w:pStyle w:val="BodyText"/>
      </w:pPr>
      <w:r>
        <w:t xml:space="preserve">In summary an extension of the TFI value to be catered in the RLC/MAC header is seen feasible if required by the cellular </w:t>
      </w:r>
      <w:proofErr w:type="spellStart"/>
      <w:r>
        <w:t>IoT</w:t>
      </w:r>
      <w:proofErr w:type="spellEnd"/>
      <w:r>
        <w:t xml:space="preserve"> traffic.</w:t>
      </w:r>
    </w:p>
    <w:p w:rsidR="003C7DF7" w:rsidRDefault="003C7DF7" w:rsidP="00C231D3">
      <w:pPr>
        <w:pStyle w:val="Heading1"/>
      </w:pPr>
      <w:r>
        <w:t>Simulations</w:t>
      </w:r>
    </w:p>
    <w:p w:rsidR="003C7DF7" w:rsidRDefault="003C7DF7" w:rsidP="003C7DF7">
      <w:pPr>
        <w:pStyle w:val="Heading2"/>
      </w:pPr>
      <w:r>
        <w:t>Simulation assumptions</w:t>
      </w:r>
    </w:p>
    <w:p w:rsidR="003C7DF7" w:rsidRDefault="003C7DF7" w:rsidP="003C7DF7">
      <w:pPr>
        <w:pStyle w:val="BodyText"/>
      </w:pPr>
      <w:r>
        <w:t xml:space="preserve">The simulation assumptions used for the simulations are shown in </w:t>
      </w:r>
      <w:r>
        <w:fldChar w:fldCharType="begin"/>
      </w:r>
      <w:r>
        <w:instrText xml:space="preserve"> REF _Ref391137736 \h </w:instrText>
      </w:r>
      <w:r>
        <w:fldChar w:fldCharType="separate"/>
      </w:r>
      <w:r>
        <w:t xml:space="preserve">Table </w:t>
      </w:r>
      <w:r>
        <w:rPr>
          <w:noProof/>
        </w:rPr>
        <w:t>2</w:t>
      </w:r>
      <w:r>
        <w:fldChar w:fldCharType="end"/>
      </w:r>
      <w:r>
        <w:t>.</w:t>
      </w:r>
    </w:p>
    <w:p w:rsidR="003C7DF7" w:rsidRDefault="003C7DF7" w:rsidP="003C7DF7">
      <w:pPr>
        <w:pStyle w:val="Caption"/>
      </w:pPr>
      <w:bookmarkStart w:id="3" w:name="_Ref391137736"/>
      <w:proofErr w:type="gramStart"/>
      <w:r>
        <w:t xml:space="preserve">Table </w:t>
      </w:r>
      <w:r w:rsidR="00076DF8">
        <w:fldChar w:fldCharType="begin"/>
      </w:r>
      <w:r w:rsidR="00076DF8">
        <w:instrText xml:space="preserve"> SEQ Table \* ARABIC </w:instrText>
      </w:r>
      <w:r w:rsidR="00076DF8">
        <w:fldChar w:fldCharType="separate"/>
      </w:r>
      <w:r>
        <w:rPr>
          <w:noProof/>
        </w:rPr>
        <w:t>2</w:t>
      </w:r>
      <w:r w:rsidR="00076DF8">
        <w:rPr>
          <w:noProof/>
        </w:rPr>
        <w:fldChar w:fldCharType="end"/>
      </w:r>
      <w:bookmarkEnd w:id="3"/>
      <w:r>
        <w:t>.</w:t>
      </w:r>
      <w:proofErr w:type="gramEnd"/>
      <w:r>
        <w:t xml:space="preserve"> </w:t>
      </w:r>
      <w:proofErr w:type="gramStart"/>
      <w:r>
        <w:t>Simulation assumptions.</w:t>
      </w:r>
      <w:proofErr w:type="gramEnd"/>
    </w:p>
    <w:tbl>
      <w:tblPr>
        <w:tblW w:w="4186" w:type="dxa"/>
        <w:jc w:val="center"/>
        <w:tblCellMar>
          <w:left w:w="0" w:type="dxa"/>
          <w:right w:w="0" w:type="dxa"/>
        </w:tblCellMar>
        <w:tblLook w:val="0420" w:firstRow="1" w:lastRow="0" w:firstColumn="0" w:lastColumn="0" w:noHBand="0" w:noVBand="1"/>
      </w:tblPr>
      <w:tblGrid>
        <w:gridCol w:w="2129"/>
        <w:gridCol w:w="2057"/>
      </w:tblGrid>
      <w:tr w:rsidR="004E4C44" w:rsidRPr="004E4C44" w:rsidTr="00A27233">
        <w:trPr>
          <w:trHeight w:val="20"/>
          <w:jc w:val="center"/>
        </w:trPr>
        <w:tc>
          <w:tcPr>
            <w:tcW w:w="2129"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4E4C44" w:rsidRPr="00A27233" w:rsidRDefault="004E4C44" w:rsidP="004E4C44">
            <w:pPr>
              <w:spacing w:after="0" w:line="240" w:lineRule="auto"/>
              <w:rPr>
                <w:rFonts w:eastAsia="Times New Roman" w:cstheme="minorHAnsi"/>
                <w:sz w:val="20"/>
                <w:szCs w:val="20"/>
              </w:rPr>
            </w:pPr>
            <w:r w:rsidRPr="00A27233">
              <w:rPr>
                <w:rFonts w:eastAsia="Times New Roman" w:cstheme="minorHAnsi"/>
                <w:kern w:val="24"/>
                <w:sz w:val="20"/>
                <w:szCs w:val="20"/>
              </w:rPr>
              <w:t>Parameter</w:t>
            </w:r>
          </w:p>
        </w:tc>
        <w:tc>
          <w:tcPr>
            <w:tcW w:w="2057"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4E4C44" w:rsidRPr="00A27233" w:rsidRDefault="004E4C44" w:rsidP="004E4C44">
            <w:pPr>
              <w:spacing w:after="0" w:line="240" w:lineRule="auto"/>
              <w:rPr>
                <w:rFonts w:eastAsia="Times New Roman" w:cstheme="minorHAnsi"/>
                <w:sz w:val="20"/>
                <w:szCs w:val="20"/>
              </w:rPr>
            </w:pPr>
            <w:r w:rsidRPr="00A27233">
              <w:rPr>
                <w:rFonts w:eastAsia="Times New Roman" w:cstheme="minorHAnsi"/>
                <w:kern w:val="24"/>
                <w:sz w:val="20"/>
                <w:szCs w:val="20"/>
              </w:rPr>
              <w:t>Value</w:t>
            </w:r>
          </w:p>
        </w:tc>
      </w:tr>
      <w:tr w:rsidR="004E4C44" w:rsidRPr="004E4C44" w:rsidTr="004E4C44">
        <w:trPr>
          <w:trHeight w:val="39"/>
          <w:jc w:val="center"/>
        </w:trPr>
        <w:tc>
          <w:tcPr>
            <w:tcW w:w="2129"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4E4C44" w:rsidRPr="004E4C44" w:rsidRDefault="004E4C44" w:rsidP="004E4C44">
            <w:pPr>
              <w:spacing w:after="0" w:line="240" w:lineRule="auto"/>
              <w:rPr>
                <w:rFonts w:eastAsia="Times New Roman" w:cstheme="minorHAnsi"/>
                <w:sz w:val="20"/>
                <w:szCs w:val="20"/>
              </w:rPr>
            </w:pPr>
            <w:r w:rsidRPr="004E4C44">
              <w:rPr>
                <w:rFonts w:eastAsia="Times New Roman" w:cstheme="minorHAnsi"/>
                <w:color w:val="000000" w:themeColor="text1"/>
                <w:kern w:val="24"/>
                <w:sz w:val="20"/>
                <w:szCs w:val="20"/>
              </w:rPr>
              <w:t>Channel propagation</w:t>
            </w:r>
          </w:p>
        </w:tc>
        <w:tc>
          <w:tcPr>
            <w:tcW w:w="2057"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4E4C44" w:rsidRPr="004E4C44" w:rsidRDefault="004E4C44" w:rsidP="004E4C44">
            <w:pPr>
              <w:spacing w:after="0" w:line="240" w:lineRule="auto"/>
              <w:rPr>
                <w:rFonts w:eastAsia="Times New Roman" w:cstheme="minorHAnsi"/>
                <w:sz w:val="20"/>
                <w:szCs w:val="20"/>
              </w:rPr>
            </w:pPr>
            <w:r w:rsidRPr="004E4C44">
              <w:rPr>
                <w:rFonts w:eastAsia="Times New Roman" w:cstheme="minorHAnsi"/>
                <w:color w:val="000000" w:themeColor="text1"/>
                <w:kern w:val="24"/>
                <w:sz w:val="20"/>
                <w:szCs w:val="20"/>
              </w:rPr>
              <w:t>TU</w:t>
            </w:r>
          </w:p>
        </w:tc>
      </w:tr>
      <w:tr w:rsidR="004E4C44" w:rsidRPr="004E4C44" w:rsidTr="004E4C44">
        <w:trPr>
          <w:trHeight w:val="16"/>
          <w:jc w:val="center"/>
        </w:trPr>
        <w:tc>
          <w:tcPr>
            <w:tcW w:w="2129"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4E4C44" w:rsidRPr="004E4C44" w:rsidRDefault="004E4C44" w:rsidP="004E4C44">
            <w:pPr>
              <w:spacing w:after="0" w:line="240" w:lineRule="auto"/>
              <w:rPr>
                <w:rFonts w:eastAsia="Times New Roman" w:cstheme="minorHAnsi"/>
                <w:sz w:val="20"/>
                <w:szCs w:val="20"/>
              </w:rPr>
            </w:pPr>
            <w:r w:rsidRPr="004E4C44">
              <w:rPr>
                <w:rFonts w:eastAsia="Times New Roman" w:cstheme="minorHAnsi"/>
                <w:color w:val="000000" w:themeColor="text1"/>
                <w:kern w:val="24"/>
                <w:sz w:val="20"/>
                <w:szCs w:val="20"/>
              </w:rPr>
              <w:t>MS speed</w:t>
            </w:r>
          </w:p>
        </w:tc>
        <w:tc>
          <w:tcPr>
            <w:tcW w:w="2057"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4E4C44" w:rsidRPr="004E4C44" w:rsidRDefault="004E4C44" w:rsidP="004E4C44">
            <w:pPr>
              <w:spacing w:after="0" w:line="240" w:lineRule="auto"/>
              <w:rPr>
                <w:rFonts w:eastAsia="Times New Roman" w:cstheme="minorHAnsi"/>
                <w:sz w:val="20"/>
                <w:szCs w:val="20"/>
              </w:rPr>
            </w:pPr>
            <w:r w:rsidRPr="004E4C44">
              <w:rPr>
                <w:rFonts w:eastAsia="Times New Roman" w:cstheme="minorHAnsi"/>
                <w:color w:val="000000" w:themeColor="text1"/>
                <w:kern w:val="24"/>
                <w:sz w:val="20"/>
                <w:szCs w:val="20"/>
              </w:rPr>
              <w:t>1.2 km/h</w:t>
            </w:r>
          </w:p>
        </w:tc>
      </w:tr>
      <w:tr w:rsidR="004E4C44" w:rsidRPr="004E4C44" w:rsidTr="004E4C44">
        <w:trPr>
          <w:trHeight w:val="16"/>
          <w:jc w:val="center"/>
        </w:trPr>
        <w:tc>
          <w:tcPr>
            <w:tcW w:w="2129"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4E4C44" w:rsidRPr="004E4C44" w:rsidRDefault="004E4C44" w:rsidP="004E4C44">
            <w:pPr>
              <w:spacing w:after="0" w:line="240" w:lineRule="auto"/>
              <w:rPr>
                <w:rFonts w:eastAsia="Times New Roman" w:cstheme="minorHAnsi"/>
                <w:sz w:val="20"/>
                <w:szCs w:val="20"/>
              </w:rPr>
            </w:pPr>
            <w:r w:rsidRPr="004E4C44">
              <w:rPr>
                <w:rFonts w:eastAsia="Times New Roman" w:cstheme="minorHAnsi"/>
                <w:color w:val="000000" w:themeColor="text1"/>
                <w:kern w:val="24"/>
                <w:sz w:val="20"/>
                <w:szCs w:val="20"/>
              </w:rPr>
              <w:t>Impairments</w:t>
            </w:r>
          </w:p>
        </w:tc>
        <w:tc>
          <w:tcPr>
            <w:tcW w:w="2057"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4E4C44" w:rsidRPr="004E4C44" w:rsidRDefault="004E4C44" w:rsidP="007F7F15">
            <w:pPr>
              <w:spacing w:after="0" w:line="240" w:lineRule="auto"/>
              <w:rPr>
                <w:rFonts w:eastAsia="Times New Roman" w:cstheme="minorHAnsi"/>
                <w:sz w:val="20"/>
                <w:szCs w:val="20"/>
              </w:rPr>
            </w:pPr>
            <w:r w:rsidRPr="004E4C44">
              <w:rPr>
                <w:rFonts w:eastAsia="Times New Roman" w:cstheme="minorHAnsi"/>
                <w:color w:val="000000" w:themeColor="text1"/>
                <w:kern w:val="24"/>
                <w:sz w:val="20"/>
                <w:szCs w:val="20"/>
              </w:rPr>
              <w:t xml:space="preserve">Typical, see e.g. </w:t>
            </w:r>
            <w:r w:rsidR="007F7F15">
              <w:rPr>
                <w:rFonts w:eastAsia="Times New Roman" w:cstheme="minorHAnsi"/>
                <w:color w:val="000000" w:themeColor="text1"/>
                <w:kern w:val="24"/>
                <w:sz w:val="20"/>
                <w:szCs w:val="20"/>
              </w:rPr>
              <w:fldChar w:fldCharType="begin"/>
            </w:r>
            <w:r w:rsidR="007F7F15">
              <w:rPr>
                <w:rFonts w:eastAsia="Times New Roman" w:cstheme="minorHAnsi"/>
                <w:color w:val="000000" w:themeColor="text1"/>
                <w:kern w:val="24"/>
                <w:sz w:val="20"/>
                <w:szCs w:val="20"/>
              </w:rPr>
              <w:instrText xml:space="preserve"> REF _Ref391121513 \r \h </w:instrText>
            </w:r>
            <w:r w:rsidR="007F7F15">
              <w:rPr>
                <w:rFonts w:eastAsia="Times New Roman" w:cstheme="minorHAnsi"/>
                <w:color w:val="000000" w:themeColor="text1"/>
                <w:kern w:val="24"/>
                <w:sz w:val="20"/>
                <w:szCs w:val="20"/>
              </w:rPr>
            </w:r>
            <w:r w:rsidR="007F7F15">
              <w:rPr>
                <w:rFonts w:eastAsia="Times New Roman" w:cstheme="minorHAnsi"/>
                <w:color w:val="000000" w:themeColor="text1"/>
                <w:kern w:val="24"/>
                <w:sz w:val="20"/>
                <w:szCs w:val="20"/>
              </w:rPr>
              <w:fldChar w:fldCharType="separate"/>
            </w:r>
            <w:r w:rsidR="007F7F15">
              <w:rPr>
                <w:rFonts w:eastAsia="Times New Roman" w:cstheme="minorHAnsi"/>
                <w:color w:val="000000" w:themeColor="text1"/>
                <w:kern w:val="24"/>
                <w:sz w:val="20"/>
                <w:szCs w:val="20"/>
              </w:rPr>
              <w:t>[2]</w:t>
            </w:r>
            <w:r w:rsidR="007F7F15">
              <w:rPr>
                <w:rFonts w:eastAsia="Times New Roman" w:cstheme="minorHAnsi"/>
                <w:color w:val="000000" w:themeColor="text1"/>
                <w:kern w:val="24"/>
                <w:sz w:val="20"/>
                <w:szCs w:val="20"/>
              </w:rPr>
              <w:fldChar w:fldCharType="end"/>
            </w:r>
          </w:p>
        </w:tc>
      </w:tr>
      <w:tr w:rsidR="004E4C44" w:rsidRPr="004E4C44" w:rsidTr="004E4C44">
        <w:trPr>
          <w:trHeight w:val="16"/>
          <w:jc w:val="center"/>
        </w:trPr>
        <w:tc>
          <w:tcPr>
            <w:tcW w:w="2129"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4E4C44" w:rsidRPr="004E4C44" w:rsidRDefault="004E4C44" w:rsidP="004E4C44">
            <w:pPr>
              <w:spacing w:after="0" w:line="240" w:lineRule="auto"/>
              <w:rPr>
                <w:rFonts w:eastAsia="Times New Roman" w:cstheme="minorHAnsi"/>
                <w:sz w:val="20"/>
                <w:szCs w:val="20"/>
              </w:rPr>
            </w:pPr>
            <w:r w:rsidRPr="004E4C44">
              <w:rPr>
                <w:rFonts w:eastAsia="Times New Roman" w:cstheme="minorHAnsi"/>
                <w:color w:val="000000" w:themeColor="text1"/>
                <w:kern w:val="24"/>
                <w:sz w:val="20"/>
                <w:szCs w:val="20"/>
              </w:rPr>
              <w:t>Number of repetitions</w:t>
            </w:r>
          </w:p>
        </w:tc>
        <w:tc>
          <w:tcPr>
            <w:tcW w:w="2057"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4E4C44" w:rsidRPr="004E4C44" w:rsidRDefault="004E4C44" w:rsidP="004E4C44">
            <w:pPr>
              <w:spacing w:after="0" w:line="240" w:lineRule="auto"/>
              <w:rPr>
                <w:rFonts w:eastAsia="Times New Roman" w:cstheme="minorHAnsi"/>
                <w:sz w:val="20"/>
                <w:szCs w:val="20"/>
              </w:rPr>
            </w:pPr>
            <w:r w:rsidRPr="004E4C44">
              <w:rPr>
                <w:rFonts w:eastAsia="Times New Roman" w:cstheme="minorHAnsi"/>
                <w:color w:val="000000" w:themeColor="text1"/>
                <w:kern w:val="24"/>
                <w:sz w:val="20"/>
                <w:szCs w:val="20"/>
              </w:rPr>
              <w:t>8</w:t>
            </w:r>
          </w:p>
        </w:tc>
      </w:tr>
      <w:tr w:rsidR="004E4C44" w:rsidRPr="004E4C44" w:rsidTr="004E4C44">
        <w:trPr>
          <w:trHeight w:val="16"/>
          <w:jc w:val="center"/>
        </w:trPr>
        <w:tc>
          <w:tcPr>
            <w:tcW w:w="2129"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4E4C44" w:rsidRPr="004E4C44" w:rsidRDefault="004E4C44" w:rsidP="004E4C44">
            <w:pPr>
              <w:spacing w:after="0" w:line="240" w:lineRule="auto"/>
              <w:rPr>
                <w:rFonts w:eastAsia="Times New Roman" w:cstheme="minorHAnsi"/>
                <w:sz w:val="20"/>
                <w:szCs w:val="20"/>
              </w:rPr>
            </w:pPr>
            <w:r w:rsidRPr="004E4C44">
              <w:rPr>
                <w:rFonts w:eastAsia="Times New Roman" w:cstheme="minorHAnsi"/>
                <w:color w:val="000000" w:themeColor="text1"/>
                <w:kern w:val="24"/>
                <w:sz w:val="20"/>
                <w:szCs w:val="20"/>
              </w:rPr>
              <w:t>MCS</w:t>
            </w:r>
          </w:p>
        </w:tc>
        <w:tc>
          <w:tcPr>
            <w:tcW w:w="2057"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4E4C44" w:rsidRPr="004E4C44" w:rsidRDefault="004E4C44" w:rsidP="004E4C44">
            <w:pPr>
              <w:spacing w:after="0" w:line="240" w:lineRule="auto"/>
              <w:rPr>
                <w:rFonts w:eastAsia="Times New Roman" w:cstheme="minorHAnsi"/>
                <w:sz w:val="20"/>
                <w:szCs w:val="20"/>
              </w:rPr>
            </w:pPr>
            <w:r w:rsidRPr="004E4C44">
              <w:rPr>
                <w:rFonts w:eastAsia="Times New Roman" w:cstheme="minorHAnsi"/>
                <w:color w:val="000000" w:themeColor="text1"/>
                <w:kern w:val="24"/>
                <w:sz w:val="20"/>
                <w:szCs w:val="20"/>
              </w:rPr>
              <w:t>MCS-1</w:t>
            </w:r>
          </w:p>
        </w:tc>
      </w:tr>
    </w:tbl>
    <w:p w:rsidR="004B2B9F" w:rsidRDefault="004B2B9F" w:rsidP="004E4C44">
      <w:pPr>
        <w:pStyle w:val="BodyText"/>
      </w:pPr>
    </w:p>
    <w:p w:rsidR="004E4C44" w:rsidRPr="004B2B9F" w:rsidRDefault="00DC605A" w:rsidP="004E4C44">
      <w:pPr>
        <w:pStyle w:val="BodyText"/>
      </w:pPr>
      <w:r>
        <w:t>It is further assumed in the simulations that the USF value can change to any of 0-7 on a block-by-block basis.</w:t>
      </w:r>
    </w:p>
    <w:p w:rsidR="003C7DF7" w:rsidRDefault="003C7DF7" w:rsidP="003C7DF7">
      <w:pPr>
        <w:pStyle w:val="Heading2"/>
      </w:pPr>
      <w:r>
        <w:t>Simulation results</w:t>
      </w:r>
    </w:p>
    <w:p w:rsidR="00A05392" w:rsidRDefault="00A05392" w:rsidP="00A05392">
      <w:pPr>
        <w:pStyle w:val="BodyText"/>
      </w:pPr>
      <w:r>
        <w:t xml:space="preserve">In </w:t>
      </w:r>
      <w:r>
        <w:fldChar w:fldCharType="begin"/>
      </w:r>
      <w:r>
        <w:instrText xml:space="preserve"> REF _Ref391138830 \h </w:instrText>
      </w:r>
      <w:r>
        <w:fldChar w:fldCharType="separate"/>
      </w:r>
      <w:r>
        <w:t xml:space="preserve">Figure </w:t>
      </w:r>
      <w:r>
        <w:rPr>
          <w:noProof/>
        </w:rPr>
        <w:t>2</w:t>
      </w:r>
      <w:r>
        <w:fldChar w:fldCharType="end"/>
      </w:r>
      <w:r>
        <w:t xml:space="preserve"> the performance is shown </w:t>
      </w:r>
      <w:r w:rsidR="00FB6CAA">
        <w:t xml:space="preserve">comparing keeping the same USF </w:t>
      </w:r>
      <w:r w:rsidR="00CB27B3">
        <w:t>value</w:t>
      </w:r>
      <w:r w:rsidR="00FB6CAA">
        <w:t xml:space="preserve"> during the eight repetitions with changing the USF value in each radio block period.</w:t>
      </w:r>
    </w:p>
    <w:p w:rsidR="00FB6CAA" w:rsidRPr="00A05392" w:rsidRDefault="00FB6CAA" w:rsidP="00A05392">
      <w:pPr>
        <w:pStyle w:val="BodyText"/>
      </w:pPr>
      <w:r>
        <w:t>It is assumed that the receiver relies on accumulation of the IQ samples during all eight TSs of the TDMA frame, and hence would be most sensitive to changes of the USF value (preventing full coherent reception).</w:t>
      </w:r>
    </w:p>
    <w:p w:rsidR="00DC605A" w:rsidRDefault="00A05392" w:rsidP="00A05392">
      <w:pPr>
        <w:pStyle w:val="BodyText"/>
        <w:jc w:val="center"/>
      </w:pPr>
      <w:r w:rsidRPr="00A05392">
        <w:rPr>
          <w:noProof/>
        </w:rPr>
        <w:lastRenderedPageBreak/>
        <w:drawing>
          <wp:inline distT="0" distB="0" distL="0" distR="0" wp14:anchorId="2E37B0A0" wp14:editId="297FB9ED">
            <wp:extent cx="4430513" cy="2954622"/>
            <wp:effectExtent l="0" t="0" r="825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33310" cy="2956487"/>
                    </a:xfrm>
                    <a:prstGeom prst="rect">
                      <a:avLst/>
                    </a:prstGeom>
                  </pic:spPr>
                </pic:pic>
              </a:graphicData>
            </a:graphic>
          </wp:inline>
        </w:drawing>
      </w:r>
    </w:p>
    <w:p w:rsidR="00A05392" w:rsidRDefault="00A05392" w:rsidP="00A05392">
      <w:pPr>
        <w:pStyle w:val="Caption"/>
      </w:pPr>
      <w:bookmarkStart w:id="4" w:name="_Ref391138830"/>
      <w:proofErr w:type="gramStart"/>
      <w:r>
        <w:t xml:space="preserve">Figure </w:t>
      </w:r>
      <w:r w:rsidR="00076DF8">
        <w:fldChar w:fldCharType="begin"/>
      </w:r>
      <w:r w:rsidR="00076DF8">
        <w:instrText xml:space="preserve"> SEQ Figure \* ARABIC </w:instrText>
      </w:r>
      <w:r w:rsidR="00076DF8">
        <w:fldChar w:fldCharType="separate"/>
      </w:r>
      <w:r>
        <w:rPr>
          <w:noProof/>
        </w:rPr>
        <w:t>2</w:t>
      </w:r>
      <w:r w:rsidR="00076DF8">
        <w:rPr>
          <w:noProof/>
        </w:rPr>
        <w:fldChar w:fldCharType="end"/>
      </w:r>
      <w:bookmarkEnd w:id="4"/>
      <w:r>
        <w:t>.</w:t>
      </w:r>
      <w:proofErr w:type="gramEnd"/>
      <w:r>
        <w:t xml:space="preserve"> RLC data block performance in extended cove</w:t>
      </w:r>
      <w:r w:rsidR="00FB6CAA">
        <w:t>r</w:t>
      </w:r>
      <w:r>
        <w:t>age when varying USF in each radio block period.</w:t>
      </w:r>
    </w:p>
    <w:p w:rsidR="00FB6CAA" w:rsidRPr="00FB6CAA" w:rsidRDefault="00FB6CAA" w:rsidP="00FB6CAA">
      <w:pPr>
        <w:pStyle w:val="BodyText"/>
      </w:pPr>
      <w:r>
        <w:t>It is seen that no negative impact on the DL data performance is visible. Hence, it is concluded that extending the current DL scheduling also when in extended coverage is seen feasible.</w:t>
      </w:r>
    </w:p>
    <w:p w:rsidR="00C231D3" w:rsidRDefault="00C231D3" w:rsidP="00C231D3">
      <w:pPr>
        <w:pStyle w:val="Heading1"/>
      </w:pPr>
      <w:r>
        <w:t>Conclusions</w:t>
      </w:r>
    </w:p>
    <w:p w:rsidR="000E1B9A" w:rsidRDefault="000E1B9A" w:rsidP="00C231D3">
      <w:pPr>
        <w:pStyle w:val="BodyText"/>
      </w:pPr>
      <w:r>
        <w:t>In this discussion paper it has been investigated if the current principle of DL scheduling (i.e. signaling the scheduled TBF in the DL RLC/MAC header by the TFI value) can be used also when extended DL coverage is required.</w:t>
      </w:r>
    </w:p>
    <w:p w:rsidR="00C231D3" w:rsidRDefault="000E1B9A" w:rsidP="00C231D3">
      <w:pPr>
        <w:pStyle w:val="BodyText"/>
      </w:pPr>
      <w:r>
        <w:t>It is concluded that no impact on DL scheduling is seen even if allowing full simultaneous USF scheduling for users in normal coverage.</w:t>
      </w:r>
    </w:p>
    <w:p w:rsidR="000E1B9A" w:rsidRPr="00C231D3" w:rsidRDefault="000E1B9A" w:rsidP="00C231D3">
      <w:pPr>
        <w:pStyle w:val="BodyText"/>
      </w:pPr>
      <w:r>
        <w:t xml:space="preserve">Furthermore, if required by cellular </w:t>
      </w:r>
      <w:proofErr w:type="spellStart"/>
      <w:r>
        <w:t>IoT</w:t>
      </w:r>
      <w:proofErr w:type="spellEnd"/>
      <w:r>
        <w:t xml:space="preserve">, an extension of the TFI space is seen feasible by either adopting the currently used solution for </w:t>
      </w:r>
      <w:proofErr w:type="spellStart"/>
      <w:r>
        <w:t>eTFI</w:t>
      </w:r>
      <w:proofErr w:type="spellEnd"/>
      <w:r>
        <w:t xml:space="preserve"> by the DLMC feature, or </w:t>
      </w:r>
      <w:r w:rsidR="00096DB2">
        <w:t xml:space="preserve">redefining the RLC/MAC header with more bits </w:t>
      </w:r>
      <w:r w:rsidR="009723B2">
        <w:t xml:space="preserve">used </w:t>
      </w:r>
      <w:r w:rsidR="00096DB2">
        <w:t>for TFI</w:t>
      </w:r>
      <w:r w:rsidR="009723B2">
        <w:t xml:space="preserve"> definition</w:t>
      </w:r>
      <w:r w:rsidR="00096DB2">
        <w:t>.</w:t>
      </w:r>
    </w:p>
    <w:p w:rsidR="00E17DDB" w:rsidRDefault="00E17DDB" w:rsidP="00E17DDB">
      <w:pPr>
        <w:pStyle w:val="Heading1"/>
      </w:pPr>
      <w:r>
        <w:t>References</w:t>
      </w:r>
    </w:p>
    <w:p w:rsidR="00A26DEA" w:rsidRDefault="00A26DEA" w:rsidP="007F7F15">
      <w:pPr>
        <w:pStyle w:val="Reference"/>
      </w:pPr>
      <w:bookmarkStart w:id="5" w:name="_Ref391121529"/>
      <w:r>
        <w:t xml:space="preserve">3GPP TR 36.888, “Study on provision of low-cost Machine-Type Communications (MTC) User </w:t>
      </w:r>
      <w:proofErr w:type="spellStart"/>
      <w:r>
        <w:t>Equipments</w:t>
      </w:r>
      <w:proofErr w:type="spellEnd"/>
      <w:r>
        <w:t xml:space="preserve"> (UEs)”</w:t>
      </w:r>
      <w:bookmarkEnd w:id="5"/>
    </w:p>
    <w:p w:rsidR="00633519" w:rsidRPr="00633519" w:rsidRDefault="00CA34C7" w:rsidP="00633519">
      <w:pPr>
        <w:pStyle w:val="Reference"/>
      </w:pPr>
      <w:bookmarkStart w:id="6" w:name="_Ref391121513"/>
      <w:r>
        <w:t>3GPP TR 45.860, “</w:t>
      </w:r>
      <w:r w:rsidRPr="00CA34C7">
        <w:t xml:space="preserve">Signal </w:t>
      </w:r>
      <w:proofErr w:type="spellStart"/>
      <w:r w:rsidRPr="00CA34C7">
        <w:t>Precoding</w:t>
      </w:r>
      <w:proofErr w:type="spellEnd"/>
      <w:r w:rsidRPr="00CA34C7">
        <w:t xml:space="preserve"> Enhancements for EGPRS2 DL</w:t>
      </w:r>
      <w:r>
        <w:t>”.</w:t>
      </w:r>
      <w:bookmarkEnd w:id="6"/>
    </w:p>
    <w:sectPr w:rsidR="00633519" w:rsidRPr="00633519"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DF8" w:rsidRDefault="00076DF8">
      <w:r>
        <w:separator/>
      </w:r>
    </w:p>
  </w:endnote>
  <w:endnote w:type="continuationSeparator" w:id="0">
    <w:p w:rsidR="00076DF8" w:rsidRDefault="0007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0207A">
      <w:rPr>
        <w:rStyle w:val="PageNumber"/>
        <w:noProof/>
      </w:rPr>
      <w:t>2</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207A">
      <w:rPr>
        <w:rStyle w:val="PageNumber"/>
        <w:noProof/>
      </w:rPr>
      <w:t>4</w:t>
    </w:r>
    <w:r>
      <w:rPr>
        <w:rStyle w:val="PageNumber"/>
      </w:rPr>
      <w:fldChar w:fldCharType="end"/>
    </w:r>
    <w:r>
      <w:rPr>
        <w:rStyle w:val="PageNumber"/>
      </w:rPr>
      <w:t>)</w:t>
    </w:r>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70207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207A">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DF8" w:rsidRDefault="00076DF8">
      <w:r>
        <w:separator/>
      </w:r>
    </w:p>
  </w:footnote>
  <w:footnote w:type="continuationSeparator" w:id="0">
    <w:p w:rsidR="00076DF8" w:rsidRDefault="00076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ED2D27" w:rsidRDefault="00D505CA" w:rsidP="00EA60C1">
    <w:pPr>
      <w:pStyle w:val="Header"/>
    </w:pPr>
    <w:r w:rsidRPr="00ED2D27">
      <w:t>3GPP TSG GERAN</w:t>
    </w:r>
    <w:r w:rsidR="0070207A">
      <w:t>#63</w:t>
    </w:r>
    <w:r w:rsidR="0070207A">
      <w:tab/>
    </w:r>
    <w:r w:rsidRPr="00ED2D27">
      <w:tab/>
    </w:r>
    <w:r w:rsidR="0070207A">
      <w:t>GP-140607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786" w:rsidRPr="00551786" w:rsidRDefault="00D505CA" w:rsidP="0015360B">
    <w:pPr>
      <w:pStyle w:val="Header"/>
      <w:spacing w:after="0"/>
    </w:pPr>
    <w:r w:rsidRPr="00551786">
      <w:t>3GPP TSG GERAN</w:t>
    </w:r>
    <w:r w:rsidR="00551786" w:rsidRPr="00551786">
      <w:t>#63</w:t>
    </w:r>
    <w:r w:rsidR="00551786" w:rsidRPr="00551786">
      <w:tab/>
    </w:r>
    <w:r w:rsidR="00551786" w:rsidRPr="00551786">
      <w:tab/>
      <w:t>GP-140607</w:t>
    </w:r>
  </w:p>
  <w:p w:rsidR="00551786" w:rsidRPr="00551786" w:rsidRDefault="00551786" w:rsidP="0015360B">
    <w:pPr>
      <w:pStyle w:val="Header"/>
      <w:spacing w:after="0"/>
    </w:pPr>
    <w:r w:rsidRPr="00551786">
      <w:t>Ljubljana, Slovenia</w:t>
    </w:r>
    <w:r w:rsidRPr="00551786">
      <w:tab/>
    </w:r>
    <w:r>
      <w:tab/>
      <w:t>Agenda item 7.1.5.3.5, 7.2.5.3.11</w:t>
    </w:r>
  </w:p>
  <w:p w:rsidR="00D505CA" w:rsidRPr="00264773" w:rsidRDefault="002D5956" w:rsidP="0015360B">
    <w:pPr>
      <w:pStyle w:val="Header"/>
      <w:spacing w:after="0"/>
      <w:rPr>
        <w:snapToGrid w:val="0"/>
      </w:rPr>
    </w:pPr>
    <w:r>
      <w:t>24</w:t>
    </w:r>
    <w:r w:rsidR="00B74E2C" w:rsidRPr="00B74E2C">
      <w:rPr>
        <w:vertAlign w:val="superscript"/>
      </w:rPr>
      <w:t>th</w:t>
    </w:r>
    <w:r w:rsidR="00B74E2C">
      <w:t xml:space="preserve"> </w:t>
    </w:r>
    <w:r>
      <w:t>June</w:t>
    </w:r>
    <w:r w:rsidR="00D505CA" w:rsidRPr="00264773">
      <w:t xml:space="preserve">, </w:t>
    </w:r>
    <w:r>
      <w:t>2014</w:t>
    </w:r>
    <w:r w:rsidR="00D505CA" w:rsidRPr="00264773">
      <w:br/>
    </w:r>
    <w:bookmarkStart w:id="8" w:name="_Ref515183447"/>
    <w:bookmarkEnd w:id="8"/>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A642E0A"/>
    <w:multiLevelType w:val="hybridMultilevel"/>
    <w:tmpl w:val="E20A4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0"/>
  </w:num>
  <w:num w:numId="7">
    <w:abstractNumId w:val="6"/>
  </w:num>
  <w:num w:numId="8">
    <w:abstractNumId w:val="9"/>
  </w:num>
  <w:num w:numId="9">
    <w:abstractNumId w:val="11"/>
  </w:num>
  <w:num w:numId="10">
    <w:abstractNumId w:val="12"/>
  </w:num>
  <w:num w:numId="11">
    <w:abstractNumId w:val="8"/>
  </w:num>
  <w:num w:numId="12">
    <w:abstractNumId w:val="7"/>
  </w:num>
  <w:num w:numId="13">
    <w:abstractNumId w:val="0"/>
  </w:num>
  <w:num w:numId="1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6DF8"/>
    <w:rsid w:val="0008045A"/>
    <w:rsid w:val="00081D0E"/>
    <w:rsid w:val="00082CF2"/>
    <w:rsid w:val="00084917"/>
    <w:rsid w:val="00085559"/>
    <w:rsid w:val="00085B0D"/>
    <w:rsid w:val="00085F02"/>
    <w:rsid w:val="0008658A"/>
    <w:rsid w:val="000865DB"/>
    <w:rsid w:val="00087BE7"/>
    <w:rsid w:val="00090398"/>
    <w:rsid w:val="00091E68"/>
    <w:rsid w:val="0009208C"/>
    <w:rsid w:val="00095B00"/>
    <w:rsid w:val="00096DB2"/>
    <w:rsid w:val="000976AC"/>
    <w:rsid w:val="000A107F"/>
    <w:rsid w:val="000A2AF0"/>
    <w:rsid w:val="000A4168"/>
    <w:rsid w:val="000A5E95"/>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49E2"/>
    <w:rsid w:val="000D56D0"/>
    <w:rsid w:val="000D5EF9"/>
    <w:rsid w:val="000D5F36"/>
    <w:rsid w:val="000D63EA"/>
    <w:rsid w:val="000D68A1"/>
    <w:rsid w:val="000D6A70"/>
    <w:rsid w:val="000D7C96"/>
    <w:rsid w:val="000D7EFF"/>
    <w:rsid w:val="000E0287"/>
    <w:rsid w:val="000E1B9A"/>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075AF"/>
    <w:rsid w:val="001116D8"/>
    <w:rsid w:val="00111AD5"/>
    <w:rsid w:val="001132C2"/>
    <w:rsid w:val="001145B1"/>
    <w:rsid w:val="001158B9"/>
    <w:rsid w:val="0011683C"/>
    <w:rsid w:val="0012136A"/>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7BD"/>
    <w:rsid w:val="001879A6"/>
    <w:rsid w:val="00187FFC"/>
    <w:rsid w:val="00190AED"/>
    <w:rsid w:val="001919BD"/>
    <w:rsid w:val="00192386"/>
    <w:rsid w:val="0019274D"/>
    <w:rsid w:val="0019378B"/>
    <w:rsid w:val="00193BE6"/>
    <w:rsid w:val="0019426B"/>
    <w:rsid w:val="00196B77"/>
    <w:rsid w:val="001A14DB"/>
    <w:rsid w:val="001A31E6"/>
    <w:rsid w:val="001A3C28"/>
    <w:rsid w:val="001A68ED"/>
    <w:rsid w:val="001A74BA"/>
    <w:rsid w:val="001B033B"/>
    <w:rsid w:val="001B11C2"/>
    <w:rsid w:val="001B1402"/>
    <w:rsid w:val="001B17B1"/>
    <w:rsid w:val="001B1A12"/>
    <w:rsid w:val="001B4E2B"/>
    <w:rsid w:val="001B68ED"/>
    <w:rsid w:val="001C03F9"/>
    <w:rsid w:val="001C04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2915"/>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956"/>
    <w:rsid w:val="002D5B56"/>
    <w:rsid w:val="002D6EAA"/>
    <w:rsid w:val="002D70C6"/>
    <w:rsid w:val="002D736D"/>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3BF"/>
    <w:rsid w:val="00351BAD"/>
    <w:rsid w:val="00352F67"/>
    <w:rsid w:val="00353745"/>
    <w:rsid w:val="003549E9"/>
    <w:rsid w:val="00356ED2"/>
    <w:rsid w:val="00360675"/>
    <w:rsid w:val="00360C7D"/>
    <w:rsid w:val="00360E32"/>
    <w:rsid w:val="0036197A"/>
    <w:rsid w:val="00362116"/>
    <w:rsid w:val="00362C4C"/>
    <w:rsid w:val="00364223"/>
    <w:rsid w:val="0036486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C7DF7"/>
    <w:rsid w:val="003D00E2"/>
    <w:rsid w:val="003D0379"/>
    <w:rsid w:val="003D0F91"/>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5F12"/>
    <w:rsid w:val="004460C6"/>
    <w:rsid w:val="00446697"/>
    <w:rsid w:val="00450590"/>
    <w:rsid w:val="004507B0"/>
    <w:rsid w:val="00452147"/>
    <w:rsid w:val="0045255E"/>
    <w:rsid w:val="004527ED"/>
    <w:rsid w:val="00452BC4"/>
    <w:rsid w:val="0045396F"/>
    <w:rsid w:val="00453A9A"/>
    <w:rsid w:val="00453FD2"/>
    <w:rsid w:val="004542FD"/>
    <w:rsid w:val="00455877"/>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11F"/>
    <w:rsid w:val="0049190D"/>
    <w:rsid w:val="00493201"/>
    <w:rsid w:val="00493D9F"/>
    <w:rsid w:val="00493E26"/>
    <w:rsid w:val="00496582"/>
    <w:rsid w:val="0049716D"/>
    <w:rsid w:val="00497742"/>
    <w:rsid w:val="004A02F8"/>
    <w:rsid w:val="004A0625"/>
    <w:rsid w:val="004A2866"/>
    <w:rsid w:val="004A33A4"/>
    <w:rsid w:val="004A5265"/>
    <w:rsid w:val="004A53E3"/>
    <w:rsid w:val="004A58A2"/>
    <w:rsid w:val="004A60E2"/>
    <w:rsid w:val="004A69C8"/>
    <w:rsid w:val="004A7004"/>
    <w:rsid w:val="004B1554"/>
    <w:rsid w:val="004B164D"/>
    <w:rsid w:val="004B21E7"/>
    <w:rsid w:val="004B2B9F"/>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4C44"/>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760"/>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1786"/>
    <w:rsid w:val="00552484"/>
    <w:rsid w:val="00552682"/>
    <w:rsid w:val="00552B26"/>
    <w:rsid w:val="0055641B"/>
    <w:rsid w:val="00557068"/>
    <w:rsid w:val="0056018D"/>
    <w:rsid w:val="00560496"/>
    <w:rsid w:val="00561CD5"/>
    <w:rsid w:val="0056381C"/>
    <w:rsid w:val="0056398F"/>
    <w:rsid w:val="005640CB"/>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789"/>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13E5"/>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74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207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15"/>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2902"/>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4B"/>
    <w:rsid w:val="008C3853"/>
    <w:rsid w:val="008C52FE"/>
    <w:rsid w:val="008C69E5"/>
    <w:rsid w:val="008D00E5"/>
    <w:rsid w:val="008D0383"/>
    <w:rsid w:val="008D136E"/>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A8"/>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6A"/>
    <w:rsid w:val="009702FB"/>
    <w:rsid w:val="0097044C"/>
    <w:rsid w:val="0097081F"/>
    <w:rsid w:val="00971131"/>
    <w:rsid w:val="009723B2"/>
    <w:rsid w:val="00974859"/>
    <w:rsid w:val="009748CC"/>
    <w:rsid w:val="00974F70"/>
    <w:rsid w:val="00975092"/>
    <w:rsid w:val="00975633"/>
    <w:rsid w:val="00976D1C"/>
    <w:rsid w:val="00981412"/>
    <w:rsid w:val="009816E3"/>
    <w:rsid w:val="009821CA"/>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1F8C"/>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0CD7"/>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392"/>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27233"/>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04ED"/>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26AF6"/>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43CB"/>
    <w:rsid w:val="00B44BA1"/>
    <w:rsid w:val="00B460C7"/>
    <w:rsid w:val="00B47F23"/>
    <w:rsid w:val="00B50FC3"/>
    <w:rsid w:val="00B51AB0"/>
    <w:rsid w:val="00B528E7"/>
    <w:rsid w:val="00B536BA"/>
    <w:rsid w:val="00B55CB0"/>
    <w:rsid w:val="00B566E5"/>
    <w:rsid w:val="00B57CFB"/>
    <w:rsid w:val="00B60581"/>
    <w:rsid w:val="00B6134E"/>
    <w:rsid w:val="00B61815"/>
    <w:rsid w:val="00B618A0"/>
    <w:rsid w:val="00B621A3"/>
    <w:rsid w:val="00B6231A"/>
    <w:rsid w:val="00B63221"/>
    <w:rsid w:val="00B6329A"/>
    <w:rsid w:val="00B634B7"/>
    <w:rsid w:val="00B64CCA"/>
    <w:rsid w:val="00B65973"/>
    <w:rsid w:val="00B66115"/>
    <w:rsid w:val="00B674D3"/>
    <w:rsid w:val="00B67713"/>
    <w:rsid w:val="00B70198"/>
    <w:rsid w:val="00B70339"/>
    <w:rsid w:val="00B72147"/>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0EC4"/>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D8A"/>
    <w:rsid w:val="00C27258"/>
    <w:rsid w:val="00C279ED"/>
    <w:rsid w:val="00C3248B"/>
    <w:rsid w:val="00C34412"/>
    <w:rsid w:val="00C346AB"/>
    <w:rsid w:val="00C34EDA"/>
    <w:rsid w:val="00C35028"/>
    <w:rsid w:val="00C361B7"/>
    <w:rsid w:val="00C364D3"/>
    <w:rsid w:val="00C373C7"/>
    <w:rsid w:val="00C37CC9"/>
    <w:rsid w:val="00C408B6"/>
    <w:rsid w:val="00C41373"/>
    <w:rsid w:val="00C417DD"/>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27B3"/>
    <w:rsid w:val="00CB36B1"/>
    <w:rsid w:val="00CB396E"/>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7D8"/>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4159"/>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0D17"/>
    <w:rsid w:val="00DC14CB"/>
    <w:rsid w:val="00DC44A3"/>
    <w:rsid w:val="00DC4A29"/>
    <w:rsid w:val="00DC5536"/>
    <w:rsid w:val="00DC581C"/>
    <w:rsid w:val="00DC5AB8"/>
    <w:rsid w:val="00DC605A"/>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4D6F"/>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6E0"/>
    <w:rsid w:val="00ED09BC"/>
    <w:rsid w:val="00ED0B25"/>
    <w:rsid w:val="00ED1F58"/>
    <w:rsid w:val="00ED2D27"/>
    <w:rsid w:val="00ED5409"/>
    <w:rsid w:val="00EE09CE"/>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657"/>
    <w:rsid w:val="00F50BBD"/>
    <w:rsid w:val="00F50CE4"/>
    <w:rsid w:val="00F50E9C"/>
    <w:rsid w:val="00F5119A"/>
    <w:rsid w:val="00F53566"/>
    <w:rsid w:val="00F53681"/>
    <w:rsid w:val="00F55C5F"/>
    <w:rsid w:val="00F5606B"/>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19C"/>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CAA"/>
    <w:rsid w:val="00FB6F7E"/>
    <w:rsid w:val="00FC187B"/>
    <w:rsid w:val="00FC341C"/>
    <w:rsid w:val="00FC37A9"/>
    <w:rsid w:val="00FC3F82"/>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776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077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776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776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077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776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8190800">
      <w:bodyDiv w:val="1"/>
      <w:marLeft w:val="0"/>
      <w:marRight w:val="0"/>
      <w:marTop w:val="0"/>
      <w:marBottom w:val="0"/>
      <w:divBdr>
        <w:top w:val="none" w:sz="0" w:space="0" w:color="auto"/>
        <w:left w:val="none" w:sz="0" w:space="0" w:color="auto"/>
        <w:bottom w:val="none" w:sz="0" w:space="0" w:color="auto"/>
        <w:right w:val="none" w:sz="0" w:space="0" w:color="auto"/>
      </w:divBdr>
      <w:divsChild>
        <w:div w:id="1066562284">
          <w:marLeft w:val="274"/>
          <w:marRight w:val="0"/>
          <w:marTop w:val="96"/>
          <w:marBottom w:val="0"/>
          <w:divBdr>
            <w:top w:val="none" w:sz="0" w:space="0" w:color="auto"/>
            <w:left w:val="none" w:sz="0" w:space="0" w:color="auto"/>
            <w:bottom w:val="none" w:sz="0" w:space="0" w:color="auto"/>
            <w:right w:val="none" w:sz="0" w:space="0" w:color="auto"/>
          </w:divBdr>
        </w:div>
        <w:div w:id="783041512">
          <w:marLeft w:val="274"/>
          <w:marRight w:val="0"/>
          <w:marTop w:val="96"/>
          <w:marBottom w:val="0"/>
          <w:divBdr>
            <w:top w:val="none" w:sz="0" w:space="0" w:color="auto"/>
            <w:left w:val="none" w:sz="0" w:space="0" w:color="auto"/>
            <w:bottom w:val="none" w:sz="0" w:space="0" w:color="auto"/>
            <w:right w:val="none" w:sz="0" w:space="0" w:color="auto"/>
          </w:divBdr>
        </w:div>
        <w:div w:id="727194757">
          <w:marLeft w:val="835"/>
          <w:marRight w:val="0"/>
          <w:marTop w:val="86"/>
          <w:marBottom w:val="0"/>
          <w:divBdr>
            <w:top w:val="none" w:sz="0" w:space="0" w:color="auto"/>
            <w:left w:val="none" w:sz="0" w:space="0" w:color="auto"/>
            <w:bottom w:val="none" w:sz="0" w:space="0" w:color="auto"/>
            <w:right w:val="none" w:sz="0" w:space="0" w:color="auto"/>
          </w:divBdr>
        </w:div>
        <w:div w:id="1347900609">
          <w:marLeft w:val="835"/>
          <w:marRight w:val="0"/>
          <w:marTop w:val="86"/>
          <w:marBottom w:val="0"/>
          <w:divBdr>
            <w:top w:val="none" w:sz="0" w:space="0" w:color="auto"/>
            <w:left w:val="none" w:sz="0" w:space="0" w:color="auto"/>
            <w:bottom w:val="none" w:sz="0" w:space="0" w:color="auto"/>
            <w:right w:val="none" w:sz="0" w:space="0" w:color="auto"/>
          </w:divBdr>
        </w:div>
        <w:div w:id="352925194">
          <w:marLeft w:val="835"/>
          <w:marRight w:val="0"/>
          <w:marTop w:val="86"/>
          <w:marBottom w:val="0"/>
          <w:divBdr>
            <w:top w:val="none" w:sz="0" w:space="0" w:color="auto"/>
            <w:left w:val="none" w:sz="0" w:space="0" w:color="auto"/>
            <w:bottom w:val="none" w:sz="0" w:space="0" w:color="auto"/>
            <w:right w:val="none" w:sz="0" w:space="0" w:color="auto"/>
          </w:divBdr>
        </w:div>
        <w:div w:id="240066170">
          <w:marLeft w:val="835"/>
          <w:marRight w:val="0"/>
          <w:marTop w:val="86"/>
          <w:marBottom w:val="0"/>
          <w:divBdr>
            <w:top w:val="none" w:sz="0" w:space="0" w:color="auto"/>
            <w:left w:val="none" w:sz="0" w:space="0" w:color="auto"/>
            <w:bottom w:val="none" w:sz="0" w:space="0" w:color="auto"/>
            <w:right w:val="none" w:sz="0" w:space="0" w:color="auto"/>
          </w:divBdr>
        </w:div>
        <w:div w:id="751317660">
          <w:marLeft w:val="274"/>
          <w:marRight w:val="0"/>
          <w:marTop w:val="96"/>
          <w:marBottom w:val="0"/>
          <w:divBdr>
            <w:top w:val="none" w:sz="0" w:space="0" w:color="auto"/>
            <w:left w:val="none" w:sz="0" w:space="0" w:color="auto"/>
            <w:bottom w:val="none" w:sz="0" w:space="0" w:color="auto"/>
            <w:right w:val="none" w:sz="0" w:space="0" w:color="auto"/>
          </w:divBdr>
        </w:div>
      </w:divsChild>
    </w:div>
    <w:div w:id="355499873">
      <w:bodyDiv w:val="1"/>
      <w:marLeft w:val="0"/>
      <w:marRight w:val="0"/>
      <w:marTop w:val="0"/>
      <w:marBottom w:val="0"/>
      <w:divBdr>
        <w:top w:val="none" w:sz="0" w:space="0" w:color="auto"/>
        <w:left w:val="none" w:sz="0" w:space="0" w:color="auto"/>
        <w:bottom w:val="none" w:sz="0" w:space="0" w:color="auto"/>
        <w:right w:val="none" w:sz="0" w:space="0" w:color="auto"/>
      </w:divBdr>
      <w:divsChild>
        <w:div w:id="1033845931">
          <w:marLeft w:val="274"/>
          <w:marRight w:val="0"/>
          <w:marTop w:val="115"/>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666083991">
      <w:bodyDiv w:val="1"/>
      <w:marLeft w:val="0"/>
      <w:marRight w:val="0"/>
      <w:marTop w:val="0"/>
      <w:marBottom w:val="0"/>
      <w:divBdr>
        <w:top w:val="none" w:sz="0" w:space="0" w:color="auto"/>
        <w:left w:val="none" w:sz="0" w:space="0" w:color="auto"/>
        <w:bottom w:val="none" w:sz="0" w:space="0" w:color="auto"/>
        <w:right w:val="none" w:sz="0" w:space="0" w:color="auto"/>
      </w:divBdr>
      <w:divsChild>
        <w:div w:id="35542944">
          <w:marLeft w:val="274"/>
          <w:marRight w:val="0"/>
          <w:marTop w:val="96"/>
          <w:marBottom w:val="0"/>
          <w:divBdr>
            <w:top w:val="none" w:sz="0" w:space="0" w:color="auto"/>
            <w:left w:val="none" w:sz="0" w:space="0" w:color="auto"/>
            <w:bottom w:val="none" w:sz="0" w:space="0" w:color="auto"/>
            <w:right w:val="none" w:sz="0" w:space="0" w:color="auto"/>
          </w:divBdr>
        </w:div>
        <w:div w:id="1527865080">
          <w:marLeft w:val="274"/>
          <w:marRight w:val="0"/>
          <w:marTop w:val="96"/>
          <w:marBottom w:val="0"/>
          <w:divBdr>
            <w:top w:val="none" w:sz="0" w:space="0" w:color="auto"/>
            <w:left w:val="none" w:sz="0" w:space="0" w:color="auto"/>
            <w:bottom w:val="none" w:sz="0" w:space="0" w:color="auto"/>
            <w:right w:val="none" w:sz="0" w:space="0" w:color="auto"/>
          </w:divBdr>
        </w:div>
        <w:div w:id="615716721">
          <w:marLeft w:val="274"/>
          <w:marRight w:val="0"/>
          <w:marTop w:val="96"/>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56717217">
      <w:bodyDiv w:val="1"/>
      <w:marLeft w:val="0"/>
      <w:marRight w:val="0"/>
      <w:marTop w:val="0"/>
      <w:marBottom w:val="0"/>
      <w:divBdr>
        <w:top w:val="none" w:sz="0" w:space="0" w:color="auto"/>
        <w:left w:val="none" w:sz="0" w:space="0" w:color="auto"/>
        <w:bottom w:val="none" w:sz="0" w:space="0" w:color="auto"/>
        <w:right w:val="none" w:sz="0" w:space="0" w:color="auto"/>
      </w:divBdr>
      <w:divsChild>
        <w:div w:id="853880680">
          <w:marLeft w:val="274"/>
          <w:marRight w:val="0"/>
          <w:marTop w:val="115"/>
          <w:marBottom w:val="0"/>
          <w:divBdr>
            <w:top w:val="none" w:sz="0" w:space="0" w:color="auto"/>
            <w:left w:val="none" w:sz="0" w:space="0" w:color="auto"/>
            <w:bottom w:val="none" w:sz="0" w:space="0" w:color="auto"/>
            <w:right w:val="none" w:sz="0" w:space="0" w:color="auto"/>
          </w:divBdr>
        </w:div>
        <w:div w:id="1004668362">
          <w:marLeft w:val="274"/>
          <w:marRight w:val="0"/>
          <w:marTop w:val="115"/>
          <w:marBottom w:val="0"/>
          <w:divBdr>
            <w:top w:val="none" w:sz="0" w:space="0" w:color="auto"/>
            <w:left w:val="none" w:sz="0" w:space="0" w:color="auto"/>
            <w:bottom w:val="none" w:sz="0" w:space="0" w:color="auto"/>
            <w:right w:val="none" w:sz="0" w:space="0" w:color="auto"/>
          </w:divBdr>
        </w:div>
        <w:div w:id="1398630246">
          <w:marLeft w:val="274"/>
          <w:marRight w:val="0"/>
          <w:marTop w:val="115"/>
          <w:marBottom w:val="0"/>
          <w:divBdr>
            <w:top w:val="none" w:sz="0" w:space="0" w:color="auto"/>
            <w:left w:val="none" w:sz="0" w:space="0" w:color="auto"/>
            <w:bottom w:val="none" w:sz="0" w:space="0" w:color="auto"/>
            <w:right w:val="none" w:sz="0" w:space="0" w:color="auto"/>
          </w:divBdr>
        </w:div>
        <w:div w:id="363287681">
          <w:marLeft w:val="274"/>
          <w:marRight w:val="0"/>
          <w:marTop w:val="115"/>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73308930">
      <w:bodyDiv w:val="1"/>
      <w:marLeft w:val="0"/>
      <w:marRight w:val="0"/>
      <w:marTop w:val="0"/>
      <w:marBottom w:val="0"/>
      <w:divBdr>
        <w:top w:val="none" w:sz="0" w:space="0" w:color="auto"/>
        <w:left w:val="none" w:sz="0" w:space="0" w:color="auto"/>
        <w:bottom w:val="none" w:sz="0" w:space="0" w:color="auto"/>
        <w:right w:val="none" w:sz="0" w:space="0" w:color="auto"/>
      </w:divBdr>
    </w:div>
    <w:div w:id="2094082200">
      <w:bodyDiv w:val="1"/>
      <w:marLeft w:val="0"/>
      <w:marRight w:val="0"/>
      <w:marTop w:val="0"/>
      <w:marBottom w:val="0"/>
      <w:divBdr>
        <w:top w:val="none" w:sz="0" w:space="0" w:color="auto"/>
        <w:left w:val="none" w:sz="0" w:space="0" w:color="auto"/>
        <w:bottom w:val="none" w:sz="0" w:space="0" w:color="auto"/>
        <w:right w:val="none" w:sz="0" w:space="0" w:color="auto"/>
      </w:divBdr>
      <w:divsChild>
        <w:div w:id="1958953091">
          <w:marLeft w:val="274"/>
          <w:marRight w:val="0"/>
          <w:marTop w:val="96"/>
          <w:marBottom w:val="0"/>
          <w:divBdr>
            <w:top w:val="none" w:sz="0" w:space="0" w:color="auto"/>
            <w:left w:val="none" w:sz="0" w:space="0" w:color="auto"/>
            <w:bottom w:val="none" w:sz="0" w:space="0" w:color="auto"/>
            <w:right w:val="none" w:sz="0" w:space="0" w:color="auto"/>
          </w:divBdr>
        </w:div>
        <w:div w:id="994575041">
          <w:marLeft w:val="274"/>
          <w:marRight w:val="0"/>
          <w:marTop w:val="96"/>
          <w:marBottom w:val="0"/>
          <w:divBdr>
            <w:top w:val="none" w:sz="0" w:space="0" w:color="auto"/>
            <w:left w:val="none" w:sz="0" w:space="0" w:color="auto"/>
            <w:bottom w:val="none" w:sz="0" w:space="0" w:color="auto"/>
            <w:right w:val="none" w:sz="0" w:space="0" w:color="auto"/>
          </w:divBdr>
        </w:div>
        <w:div w:id="1604800790">
          <w:marLeft w:val="835"/>
          <w:marRight w:val="0"/>
          <w:marTop w:val="86"/>
          <w:marBottom w:val="0"/>
          <w:divBdr>
            <w:top w:val="none" w:sz="0" w:space="0" w:color="auto"/>
            <w:left w:val="none" w:sz="0" w:space="0" w:color="auto"/>
            <w:bottom w:val="none" w:sz="0" w:space="0" w:color="auto"/>
            <w:right w:val="none" w:sz="0" w:space="0" w:color="auto"/>
          </w:divBdr>
        </w:div>
        <w:div w:id="172771138">
          <w:marLeft w:val="835"/>
          <w:marRight w:val="0"/>
          <w:marTop w:val="86"/>
          <w:marBottom w:val="0"/>
          <w:divBdr>
            <w:top w:val="none" w:sz="0" w:space="0" w:color="auto"/>
            <w:left w:val="none" w:sz="0" w:space="0" w:color="auto"/>
            <w:bottom w:val="none" w:sz="0" w:space="0" w:color="auto"/>
            <w:right w:val="none" w:sz="0" w:space="0" w:color="auto"/>
          </w:divBdr>
        </w:div>
        <w:div w:id="626353900">
          <w:marLeft w:val="835"/>
          <w:marRight w:val="0"/>
          <w:marTop w:val="86"/>
          <w:marBottom w:val="0"/>
          <w:divBdr>
            <w:top w:val="none" w:sz="0" w:space="0" w:color="auto"/>
            <w:left w:val="none" w:sz="0" w:space="0" w:color="auto"/>
            <w:bottom w:val="none" w:sz="0" w:space="0" w:color="auto"/>
            <w:right w:val="none" w:sz="0" w:space="0" w:color="auto"/>
          </w:divBdr>
        </w:div>
        <w:div w:id="1626160120">
          <w:marLeft w:val="835"/>
          <w:marRight w:val="0"/>
          <w:marTop w:val="86"/>
          <w:marBottom w:val="0"/>
          <w:divBdr>
            <w:top w:val="none" w:sz="0" w:space="0" w:color="auto"/>
            <w:left w:val="none" w:sz="0" w:space="0" w:color="auto"/>
            <w:bottom w:val="none" w:sz="0" w:space="0" w:color="auto"/>
            <w:right w:val="none" w:sz="0" w:space="0" w:color="auto"/>
          </w:divBdr>
        </w:div>
        <w:div w:id="1470321623">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6B379-9561-4F9B-90A7-BAD3DBCA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6400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Ericsson AB</cp:lastModifiedBy>
  <cp:revision>7</cp:revision>
  <cp:lastPrinted>2013-02-08T15:42:00Z</cp:lastPrinted>
  <dcterms:created xsi:type="dcterms:W3CDTF">2014-08-19T23:49:00Z</dcterms:created>
  <dcterms:modified xsi:type="dcterms:W3CDTF">2014-08-19T23:53:00Z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